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D3" w:rsidRDefault="00E24FD3" w:rsidP="00022C52"/>
    <w:p w:rsidR="00C172BE" w:rsidRDefault="00C172BE" w:rsidP="002146FC"/>
    <w:p w:rsidR="0029581B" w:rsidRDefault="0029581B" w:rsidP="002146FC"/>
    <w:p w:rsidR="00905604" w:rsidRDefault="007A221F" w:rsidP="004D722D">
      <w:pPr>
        <w:pStyle w:val="Heading1"/>
        <w:jc w:val="center"/>
        <w:rPr>
          <w:rFonts w:ascii="Calibri" w:eastAsia="Times New Roman" w:hAnsi="Calibri" w:cs="Times New Roman"/>
          <w:b/>
          <w:bCs/>
          <w:szCs w:val="20"/>
        </w:rPr>
      </w:pPr>
      <w:r>
        <w:rPr>
          <w:rFonts w:ascii="Calibri" w:eastAsia="Times New Roman" w:hAnsi="Calibri" w:cs="Times New Roman"/>
          <w:b/>
          <w:bCs/>
          <w:szCs w:val="20"/>
        </w:rPr>
        <w:t xml:space="preserve">DSG </w:t>
      </w:r>
      <w:r w:rsidR="001B1541">
        <w:rPr>
          <w:rFonts w:ascii="Calibri" w:eastAsia="Times New Roman" w:hAnsi="Calibri" w:cs="Times New Roman"/>
          <w:b/>
          <w:bCs/>
          <w:szCs w:val="20"/>
        </w:rPr>
        <w:t>– 2023-24 Budget Monitor and Financial Update</w:t>
      </w:r>
    </w:p>
    <w:tbl>
      <w:tblPr>
        <w:tblW w:w="978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port header"/>
        <w:tblDescription w:val="Report header showing the report title and author"/>
      </w:tblPr>
      <w:tblGrid>
        <w:gridCol w:w="3138"/>
        <w:gridCol w:w="6643"/>
      </w:tblGrid>
      <w:tr w:rsidR="007A221F" w:rsidRPr="007A221F" w:rsidTr="00E83828">
        <w:trPr>
          <w:cantSplit/>
          <w:tblHeader/>
        </w:trPr>
        <w:tc>
          <w:tcPr>
            <w:tcW w:w="3138" w:type="dxa"/>
          </w:tcPr>
          <w:p w:rsidR="007A221F" w:rsidRPr="007A221F" w:rsidRDefault="007A221F" w:rsidP="007A221F">
            <w:pPr>
              <w:keepNext/>
              <w:spacing w:after="0" w:line="240" w:lineRule="auto"/>
              <w:outlineLvl w:val="3"/>
              <w:rPr>
                <w:rFonts w:eastAsia="Times New Roman" w:cs="Arial"/>
                <w:snapToGrid w:val="0"/>
                <w:kern w:val="0"/>
                <w14:ligatures w14:val="none"/>
              </w:rPr>
            </w:pPr>
            <w:r w:rsidRPr="007A221F">
              <w:rPr>
                <w:rFonts w:eastAsia="Times New Roman" w:cs="Arial"/>
                <w:kern w:val="0"/>
                <w14:ligatures w14:val="none"/>
              </w:rPr>
              <w:t xml:space="preserve">Date: 14 March 2024       </w:t>
            </w:r>
          </w:p>
          <w:p w:rsidR="007A221F" w:rsidRPr="007A221F" w:rsidRDefault="007A221F" w:rsidP="007A221F">
            <w:pPr>
              <w:spacing w:after="0" w:line="240" w:lineRule="auto"/>
              <w:ind w:left="300"/>
              <w:rPr>
                <w:rFonts w:eastAsia="Times New Roman" w:cs="Arial"/>
                <w:kern w:val="0"/>
                <w:highlight w:val="yellow"/>
                <w14:ligatures w14:val="none"/>
              </w:rPr>
            </w:pPr>
          </w:p>
        </w:tc>
        <w:tc>
          <w:tcPr>
            <w:tcW w:w="6643" w:type="dxa"/>
          </w:tcPr>
          <w:p w:rsidR="007A221F" w:rsidRPr="007A221F" w:rsidRDefault="001B1541" w:rsidP="007A221F">
            <w:pPr>
              <w:keepNext/>
              <w:spacing w:after="0" w:line="240" w:lineRule="auto"/>
              <w:outlineLvl w:val="3"/>
              <w:rPr>
                <w:rFonts w:eastAsia="Times New Roman" w:cs="Arial"/>
                <w:kern w:val="0"/>
                <w:highlight w:val="yellow"/>
                <w14:ligatures w14:val="none"/>
              </w:rPr>
            </w:pPr>
            <w:r>
              <w:rPr>
                <w:rFonts w:eastAsia="Times New Roman" w:cs="Arial"/>
                <w:kern w:val="0"/>
                <w14:ligatures w14:val="none"/>
              </w:rPr>
              <w:t xml:space="preserve"> Item 7</w:t>
            </w:r>
            <w:r w:rsidR="007A221F" w:rsidRPr="007A221F">
              <w:rPr>
                <w:rFonts w:eastAsia="Times New Roman" w:cs="Arial"/>
                <w:kern w:val="0"/>
                <w14:ligatures w14:val="none"/>
              </w:rPr>
              <w:t xml:space="preserve">                 Type of report: Noting </w:t>
            </w:r>
          </w:p>
        </w:tc>
      </w:tr>
      <w:tr w:rsidR="007A221F" w:rsidRPr="007A221F" w:rsidTr="00E83828">
        <w:trPr>
          <w:cantSplit/>
        </w:trPr>
        <w:tc>
          <w:tcPr>
            <w:tcW w:w="3138" w:type="dxa"/>
          </w:tcPr>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14:ligatures w14:val="none"/>
              </w:rPr>
              <w:t>Report title:</w:t>
            </w:r>
          </w:p>
          <w:p w:rsidR="007A221F" w:rsidRPr="007A221F" w:rsidRDefault="007A221F" w:rsidP="007A221F">
            <w:pPr>
              <w:widowControl w:val="0"/>
              <w:spacing w:after="0" w:line="240" w:lineRule="auto"/>
              <w:rPr>
                <w:rFonts w:eastAsia="Times New Roman" w:cs="Arial"/>
                <w:snapToGrid w:val="0"/>
                <w:kern w:val="0"/>
                <w14:ligatures w14:val="none"/>
              </w:rPr>
            </w:pPr>
          </w:p>
        </w:tc>
        <w:tc>
          <w:tcPr>
            <w:tcW w:w="6643" w:type="dxa"/>
          </w:tcPr>
          <w:p w:rsidR="007A221F" w:rsidRPr="007A221F" w:rsidRDefault="001B1541" w:rsidP="007A221F">
            <w:pPr>
              <w:tabs>
                <w:tab w:val="left" w:pos="360"/>
              </w:tabs>
              <w:spacing w:after="120" w:line="240" w:lineRule="auto"/>
              <w:ind w:left="360" w:hanging="360"/>
              <w:rPr>
                <w:rFonts w:eastAsia="Times New Roman" w:cs="Arial"/>
                <w:iCs/>
                <w:kern w:val="0"/>
                <w:lang w:val="en-US"/>
                <w14:ligatures w14:val="none"/>
              </w:rPr>
            </w:pPr>
            <w:r>
              <w:rPr>
                <w:rFonts w:eastAsia="Times New Roman" w:cs="Arial"/>
                <w:iCs/>
                <w:kern w:val="0"/>
                <w:lang w:val="en-US"/>
                <w14:ligatures w14:val="none"/>
              </w:rPr>
              <w:t xml:space="preserve"> DSG 2023-24 Budget Monitor and Financial Update</w:t>
            </w:r>
          </w:p>
        </w:tc>
      </w:tr>
      <w:tr w:rsidR="007A221F" w:rsidRPr="007A221F" w:rsidTr="00E83828">
        <w:trPr>
          <w:cantSplit/>
        </w:trPr>
        <w:tc>
          <w:tcPr>
            <w:tcW w:w="3138" w:type="dxa"/>
          </w:tcPr>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14:ligatures w14:val="none"/>
              </w:rPr>
              <w:t xml:space="preserve">Author name </w:t>
            </w:r>
            <w:r w:rsidRPr="007A221F">
              <w:rPr>
                <w:rFonts w:eastAsia="Times New Roman" w:cs="Arial"/>
                <w:snapToGrid w:val="0"/>
                <w:kern w:val="0"/>
                <w14:ligatures w14:val="none"/>
              </w:rPr>
              <w:br/>
              <w:t>and contact details:</w:t>
            </w:r>
          </w:p>
        </w:tc>
        <w:tc>
          <w:tcPr>
            <w:tcW w:w="6643" w:type="dxa"/>
          </w:tcPr>
          <w:p w:rsidR="007A221F" w:rsidRPr="007A221F" w:rsidRDefault="007A221F" w:rsidP="007A221F">
            <w:pPr>
              <w:widowControl w:val="0"/>
              <w:spacing w:after="0" w:line="240" w:lineRule="auto"/>
              <w:rPr>
                <w:rFonts w:eastAsia="Times New Roman" w:cs="Arial"/>
                <w:snapToGrid w:val="0"/>
                <w:kern w:val="0"/>
                <w:lang w:val="it-IT"/>
                <w14:ligatures w14:val="none"/>
              </w:rPr>
            </w:pPr>
            <w:r w:rsidRPr="007A221F">
              <w:rPr>
                <w:rFonts w:eastAsia="Times New Roman" w:cs="Arial"/>
                <w:snapToGrid w:val="0"/>
                <w:kern w:val="0"/>
                <w:lang w:val="it-IT"/>
                <w14:ligatures w14:val="none"/>
              </w:rPr>
              <w:t xml:space="preserve"> Aron Brown</w:t>
            </w:r>
          </w:p>
          <w:p w:rsidR="007A221F" w:rsidRPr="007A221F" w:rsidRDefault="007A221F" w:rsidP="007A221F">
            <w:pPr>
              <w:widowControl w:val="0"/>
              <w:spacing w:after="0" w:line="240" w:lineRule="auto"/>
              <w:rPr>
                <w:rFonts w:eastAsia="Times New Roman" w:cs="Arial"/>
                <w:snapToGrid w:val="0"/>
                <w:kern w:val="0"/>
                <w:lang w:val="it-IT"/>
                <w14:ligatures w14:val="none"/>
              </w:rPr>
            </w:pPr>
            <w:r w:rsidRPr="007A221F">
              <w:rPr>
                <w:rFonts w:eastAsia="Times New Roman" w:cs="Arial"/>
                <w:kern w:val="0"/>
                <w14:ligatures w14:val="none"/>
              </w:rPr>
              <w:t xml:space="preserve"> </w:t>
            </w:r>
            <w:hyperlink r:id="rId8" w:history="1">
              <w:r w:rsidRPr="007A221F">
                <w:rPr>
                  <w:rFonts w:eastAsia="Times New Roman" w:cs="Arial"/>
                  <w:snapToGrid w:val="0"/>
                  <w:color w:val="0000FF"/>
                  <w:kern w:val="0"/>
                  <w:u w:val="single"/>
                  <w:lang w:val="it-IT"/>
                  <w14:ligatures w14:val="none"/>
                </w:rPr>
                <w:t>aron.brown@southwark.gov.uk</w:t>
              </w:r>
            </w:hyperlink>
            <w:r w:rsidRPr="007A221F">
              <w:rPr>
                <w:rFonts w:eastAsia="Times New Roman" w:cs="Arial"/>
                <w:snapToGrid w:val="0"/>
                <w:kern w:val="0"/>
                <w:lang w:val="it-IT"/>
                <w14:ligatures w14:val="none"/>
              </w:rPr>
              <w:t xml:space="preserve"> </w:t>
            </w:r>
          </w:p>
        </w:tc>
      </w:tr>
      <w:tr w:rsidR="007A221F" w:rsidRPr="007A221F" w:rsidTr="00E83828">
        <w:trPr>
          <w:cantSplit/>
        </w:trPr>
        <w:tc>
          <w:tcPr>
            <w:tcW w:w="3138" w:type="dxa"/>
          </w:tcPr>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14:ligatures w14:val="none"/>
              </w:rPr>
              <w:t>Officer to present the report:</w:t>
            </w:r>
          </w:p>
        </w:tc>
        <w:tc>
          <w:tcPr>
            <w:tcW w:w="6643" w:type="dxa"/>
          </w:tcPr>
          <w:p w:rsidR="007A221F" w:rsidRPr="007A221F" w:rsidRDefault="007A221F" w:rsidP="007A221F">
            <w:pPr>
              <w:widowControl w:val="0"/>
              <w:spacing w:after="0" w:line="240" w:lineRule="auto"/>
              <w:rPr>
                <w:rFonts w:eastAsia="Times New Roman" w:cs="Arial"/>
                <w:snapToGrid w:val="0"/>
                <w:kern w:val="0"/>
                <w:lang w:val="it-IT"/>
                <w14:ligatures w14:val="none"/>
              </w:rPr>
            </w:pPr>
            <w:r w:rsidRPr="007A221F">
              <w:rPr>
                <w:rFonts w:eastAsia="Times New Roman" w:cs="Arial"/>
                <w:snapToGrid w:val="0"/>
                <w:kern w:val="0"/>
                <w:lang w:val="it-IT"/>
                <w14:ligatures w14:val="none"/>
              </w:rPr>
              <w:t xml:space="preserve">Aron Brown, </w:t>
            </w:r>
          </w:p>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lang w:val="it-IT"/>
                <w14:ligatures w14:val="none"/>
              </w:rPr>
              <w:t>Senior Finance Manager, Education Finance</w:t>
            </w:r>
          </w:p>
        </w:tc>
      </w:tr>
    </w:tbl>
    <w:p w:rsidR="007A221F" w:rsidRDefault="007A221F" w:rsidP="007A221F"/>
    <w:p w:rsidR="007A221F" w:rsidRDefault="007A221F" w:rsidP="005B4092">
      <w:pPr>
        <w:pStyle w:val="Heading2"/>
      </w:pPr>
      <w:r>
        <w:t>Purpose of Report</w:t>
      </w:r>
    </w:p>
    <w:p w:rsidR="007A221F" w:rsidRDefault="001B1541" w:rsidP="007A221F">
      <w:pPr>
        <w:ind w:left="567"/>
        <w:jc w:val="both"/>
      </w:pPr>
      <w:r w:rsidRPr="001B1541">
        <w:t>This report sets out the latest in-year budget monitoring for the 2023-24 Dedicated Schools Grant (DSG) and provides an update to members on the latest school finance events.</w:t>
      </w:r>
    </w:p>
    <w:p w:rsidR="007A221F" w:rsidRDefault="007A221F" w:rsidP="005B4092">
      <w:pPr>
        <w:pStyle w:val="Heading2"/>
      </w:pPr>
      <w:r>
        <w:t>Recommended Actions for School Forum</w:t>
      </w:r>
    </w:p>
    <w:p w:rsidR="007A221F" w:rsidRDefault="007A221F" w:rsidP="007A221F">
      <w:pPr>
        <w:ind w:firstLine="567"/>
      </w:pPr>
      <w:r>
        <w:t>The Schools Forum is asked to note:</w:t>
      </w:r>
    </w:p>
    <w:p w:rsidR="007A221F" w:rsidRDefault="001B1541" w:rsidP="007A221F">
      <w:pPr>
        <w:pStyle w:val="ListParagraph"/>
        <w:numPr>
          <w:ilvl w:val="0"/>
          <w:numId w:val="34"/>
        </w:numPr>
        <w:ind w:left="851" w:hanging="284"/>
      </w:pPr>
      <w:r>
        <w:t>The DSG end of year financial forecast position for the year ending 31 March 2024</w:t>
      </w:r>
      <w:r w:rsidR="007A221F">
        <w:t>.</w:t>
      </w:r>
    </w:p>
    <w:p w:rsidR="007A221F" w:rsidRDefault="001B1541" w:rsidP="005B4092">
      <w:pPr>
        <w:pStyle w:val="Heading2"/>
      </w:pPr>
      <w:r>
        <w:t>Overall Position</w:t>
      </w:r>
    </w:p>
    <w:p w:rsidR="001B1541" w:rsidRDefault="001B1541" w:rsidP="001B1541">
      <w:pPr>
        <w:ind w:left="567"/>
        <w:jc w:val="both"/>
      </w:pPr>
      <w:r w:rsidRPr="001B1541">
        <w:t>This report sets out the budget monitoring information and projected year end position for the budget areas funded by the Dedicated Schools Grant (DSG) as at February 2024 (Month 10). There are still some areas that are subject to change between now and the year end and thus these projections should be treated with caution.</w:t>
      </w:r>
    </w:p>
    <w:p w:rsidR="001B1541" w:rsidRDefault="001B1541" w:rsidP="001B1541">
      <w:pPr>
        <w:ind w:left="567"/>
        <w:jc w:val="both"/>
      </w:pPr>
    </w:p>
    <w:p w:rsidR="001B1541" w:rsidRDefault="001B1541" w:rsidP="001B1541">
      <w:pPr>
        <w:ind w:left="567"/>
        <w:jc w:val="both"/>
      </w:pPr>
      <w:r w:rsidRPr="001B1541">
        <w:lastRenderedPageBreak/>
        <w:t>The overall position on budget monitoring is summarised in the table below. Allocations are after Academy recoupment.</w:t>
      </w:r>
    </w:p>
    <w:tbl>
      <w:tblPr>
        <w:tblpPr w:leftFromText="180" w:rightFromText="180" w:vertAnchor="text" w:horzAnchor="margin" w:tblpXSpec="center" w:tblpY="14"/>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verall position on budget monitoring "/>
        <w:tblDescription w:val="The overall position on budget monitoring is summarised in this table."/>
      </w:tblPr>
      <w:tblGrid>
        <w:gridCol w:w="3179"/>
        <w:gridCol w:w="3059"/>
        <w:gridCol w:w="2530"/>
      </w:tblGrid>
      <w:tr w:rsidR="001B1541" w:rsidRPr="001B1541" w:rsidTr="00BB4E1B">
        <w:trPr>
          <w:tblHeader/>
        </w:trPr>
        <w:tc>
          <w:tcPr>
            <w:tcW w:w="3179" w:type="dxa"/>
            <w:shd w:val="clear" w:color="auto" w:fill="D9D9D9"/>
          </w:tcPr>
          <w:p w:rsidR="001B1541" w:rsidRPr="001B1541" w:rsidRDefault="001B1541" w:rsidP="001B1541">
            <w:pPr>
              <w:spacing w:after="0" w:line="240" w:lineRule="auto"/>
              <w:ind w:left="720" w:hanging="720"/>
              <w:rPr>
                <w:rFonts w:eastAsia="Times New Roman" w:cs="Arial"/>
                <w:b/>
                <w:kern w:val="0"/>
                <w14:ligatures w14:val="none"/>
              </w:rPr>
            </w:pPr>
          </w:p>
        </w:tc>
        <w:tc>
          <w:tcPr>
            <w:tcW w:w="3059" w:type="dxa"/>
            <w:shd w:val="clear" w:color="auto" w:fill="D9D9D9"/>
          </w:tcPr>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kern w:val="0"/>
                <w14:ligatures w14:val="none"/>
              </w:rPr>
              <w:t xml:space="preserve">Southwark DSG Allocation </w:t>
            </w:r>
          </w:p>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kern w:val="0"/>
                <w14:ligatures w14:val="none"/>
              </w:rPr>
              <w:t>2023-24</w:t>
            </w:r>
          </w:p>
          <w:p w:rsidR="001B1541" w:rsidRPr="001B1541" w:rsidRDefault="001B1541" w:rsidP="001B1541">
            <w:pPr>
              <w:spacing w:after="0" w:line="240" w:lineRule="auto"/>
              <w:ind w:left="720" w:right="-84" w:hanging="720"/>
              <w:jc w:val="center"/>
              <w:rPr>
                <w:rFonts w:eastAsia="Times New Roman" w:cs="Arial"/>
                <w:b/>
                <w:kern w:val="0"/>
                <w14:ligatures w14:val="none"/>
              </w:rPr>
            </w:pPr>
            <w:r w:rsidRPr="001B1541">
              <w:rPr>
                <w:rFonts w:eastAsia="Times New Roman" w:cs="Arial"/>
                <w:b/>
                <w:kern w:val="0"/>
                <w14:ligatures w14:val="none"/>
              </w:rPr>
              <w:t xml:space="preserve">                             £’000</w:t>
            </w:r>
          </w:p>
        </w:tc>
        <w:tc>
          <w:tcPr>
            <w:tcW w:w="2530" w:type="dxa"/>
            <w:shd w:val="clear" w:color="auto" w:fill="D9D9D9"/>
          </w:tcPr>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kern w:val="0"/>
                <w14:ligatures w14:val="none"/>
              </w:rPr>
              <w:t>Projected Over/ (Underspend)</w:t>
            </w:r>
          </w:p>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kern w:val="0"/>
                <w14:ligatures w14:val="none"/>
              </w:rPr>
              <w:t>£000</w:t>
            </w:r>
          </w:p>
        </w:tc>
      </w:tr>
      <w:tr w:rsidR="001B1541" w:rsidRPr="001B1541" w:rsidTr="00BB4E1B">
        <w:trPr>
          <w:trHeight w:val="377"/>
        </w:trPr>
        <w:tc>
          <w:tcPr>
            <w:tcW w:w="3179" w:type="dxa"/>
            <w:shd w:val="clear" w:color="auto" w:fill="auto"/>
          </w:tcPr>
          <w:p w:rsidR="001B1541" w:rsidRPr="001B1541" w:rsidRDefault="001B1541" w:rsidP="001B1541">
            <w:pPr>
              <w:spacing w:after="0" w:line="240" w:lineRule="auto"/>
              <w:ind w:left="720" w:hanging="720"/>
              <w:rPr>
                <w:rFonts w:eastAsia="Times New Roman" w:cs="Arial"/>
                <w:kern w:val="0"/>
                <w14:ligatures w14:val="none"/>
              </w:rPr>
            </w:pPr>
            <w:r w:rsidRPr="001B1541">
              <w:rPr>
                <w:rFonts w:eastAsia="Times New Roman" w:cs="Arial"/>
                <w:kern w:val="0"/>
                <w14:ligatures w14:val="none"/>
              </w:rPr>
              <w:t>Schools Block</w:t>
            </w:r>
          </w:p>
        </w:tc>
        <w:tc>
          <w:tcPr>
            <w:tcW w:w="3059" w:type="dxa"/>
          </w:tcPr>
          <w:p w:rsidR="001B1541" w:rsidRPr="001B1541" w:rsidRDefault="001B1541" w:rsidP="001B1541">
            <w:pPr>
              <w:spacing w:after="0" w:line="240" w:lineRule="auto"/>
              <w:ind w:left="720" w:hanging="720"/>
              <w:jc w:val="right"/>
              <w:rPr>
                <w:rFonts w:eastAsia="Times New Roman" w:cs="Arial"/>
                <w:kern w:val="0"/>
                <w14:ligatures w14:val="none"/>
              </w:rPr>
            </w:pPr>
            <w:r w:rsidRPr="001B1541">
              <w:rPr>
                <w:rFonts w:eastAsia="Times New Roman" w:cs="Arial"/>
                <w:kern w:val="0"/>
                <w14:ligatures w14:val="none"/>
              </w:rPr>
              <w:t xml:space="preserve"> 106,172 </w:t>
            </w:r>
          </w:p>
        </w:tc>
        <w:tc>
          <w:tcPr>
            <w:tcW w:w="2530" w:type="dxa"/>
          </w:tcPr>
          <w:p w:rsidR="001B1541" w:rsidRPr="001B1541" w:rsidRDefault="001B1541" w:rsidP="001B1541">
            <w:pPr>
              <w:spacing w:after="0" w:line="240" w:lineRule="auto"/>
              <w:ind w:left="720" w:hanging="720"/>
              <w:jc w:val="right"/>
              <w:rPr>
                <w:rFonts w:eastAsia="Times New Roman" w:cs="Arial"/>
                <w:kern w:val="0"/>
                <w14:ligatures w14:val="none"/>
              </w:rPr>
            </w:pPr>
            <w:r w:rsidRPr="001B1541">
              <w:rPr>
                <w:rFonts w:eastAsia="Times New Roman" w:cs="Arial"/>
                <w:kern w:val="0"/>
                <w14:ligatures w14:val="none"/>
              </w:rPr>
              <w:t>0</w:t>
            </w:r>
          </w:p>
        </w:tc>
      </w:tr>
      <w:tr w:rsidR="001B1541" w:rsidRPr="001B1541" w:rsidTr="00BB4E1B">
        <w:trPr>
          <w:trHeight w:val="396"/>
        </w:trPr>
        <w:tc>
          <w:tcPr>
            <w:tcW w:w="3179" w:type="dxa"/>
            <w:shd w:val="clear" w:color="auto" w:fill="auto"/>
          </w:tcPr>
          <w:p w:rsidR="001B1541" w:rsidRPr="001B1541" w:rsidRDefault="001B1541" w:rsidP="001B1541">
            <w:pPr>
              <w:spacing w:after="0" w:line="240" w:lineRule="auto"/>
              <w:ind w:left="720" w:hanging="720"/>
              <w:rPr>
                <w:rFonts w:eastAsia="Times New Roman" w:cs="Arial"/>
                <w:kern w:val="0"/>
                <w14:ligatures w14:val="none"/>
              </w:rPr>
            </w:pPr>
            <w:r w:rsidRPr="001B1541">
              <w:rPr>
                <w:rFonts w:eastAsia="Times New Roman" w:cs="Arial"/>
                <w:kern w:val="0"/>
                <w14:ligatures w14:val="none"/>
              </w:rPr>
              <w:t>Central services block</w:t>
            </w:r>
          </w:p>
        </w:tc>
        <w:tc>
          <w:tcPr>
            <w:tcW w:w="3059" w:type="dxa"/>
          </w:tcPr>
          <w:p w:rsidR="001B1541" w:rsidRPr="001B1541" w:rsidRDefault="001B1541" w:rsidP="001B1541">
            <w:pPr>
              <w:spacing w:after="0" w:line="240" w:lineRule="auto"/>
              <w:ind w:left="720" w:hanging="720"/>
              <w:jc w:val="right"/>
              <w:rPr>
                <w:rFonts w:eastAsia="Times New Roman" w:cs="Arial"/>
                <w:kern w:val="0"/>
                <w14:ligatures w14:val="none"/>
              </w:rPr>
            </w:pPr>
            <w:r w:rsidRPr="001B1541">
              <w:rPr>
                <w:rFonts w:eastAsia="Times New Roman" w:cs="Arial"/>
                <w:kern w:val="0"/>
                <w14:ligatures w14:val="none"/>
              </w:rPr>
              <w:t xml:space="preserve"> 1,882 </w:t>
            </w:r>
          </w:p>
        </w:tc>
        <w:tc>
          <w:tcPr>
            <w:tcW w:w="2530" w:type="dxa"/>
          </w:tcPr>
          <w:p w:rsidR="001B1541" w:rsidRPr="001B1541" w:rsidRDefault="001B1541" w:rsidP="001B1541">
            <w:pPr>
              <w:spacing w:after="0" w:line="240" w:lineRule="auto"/>
              <w:ind w:left="720" w:hanging="720"/>
              <w:jc w:val="right"/>
              <w:rPr>
                <w:rFonts w:eastAsia="Times New Roman" w:cs="Arial"/>
                <w:kern w:val="0"/>
                <w14:ligatures w14:val="none"/>
              </w:rPr>
            </w:pPr>
            <w:r w:rsidRPr="001B1541">
              <w:rPr>
                <w:rFonts w:eastAsia="Times New Roman" w:cs="Arial"/>
                <w:kern w:val="0"/>
                <w14:ligatures w14:val="none"/>
              </w:rPr>
              <w:t>(200)</w:t>
            </w:r>
          </w:p>
        </w:tc>
      </w:tr>
      <w:tr w:rsidR="001B1541" w:rsidRPr="001B1541" w:rsidTr="00BB4E1B">
        <w:trPr>
          <w:trHeight w:val="396"/>
        </w:trPr>
        <w:tc>
          <w:tcPr>
            <w:tcW w:w="3179" w:type="dxa"/>
            <w:shd w:val="clear" w:color="auto" w:fill="auto"/>
          </w:tcPr>
          <w:p w:rsidR="001B1541" w:rsidRPr="001B1541" w:rsidRDefault="001B1541" w:rsidP="001B1541">
            <w:pPr>
              <w:spacing w:after="0" w:line="240" w:lineRule="auto"/>
              <w:ind w:left="720" w:hanging="720"/>
              <w:rPr>
                <w:rFonts w:eastAsia="Times New Roman" w:cs="Arial"/>
                <w:kern w:val="0"/>
                <w14:ligatures w14:val="none"/>
              </w:rPr>
            </w:pPr>
            <w:r w:rsidRPr="001B1541">
              <w:rPr>
                <w:rFonts w:eastAsia="Times New Roman" w:cs="Arial"/>
                <w:kern w:val="0"/>
                <w14:ligatures w14:val="none"/>
              </w:rPr>
              <w:t>High Needs Block</w:t>
            </w:r>
          </w:p>
        </w:tc>
        <w:tc>
          <w:tcPr>
            <w:tcW w:w="3059" w:type="dxa"/>
          </w:tcPr>
          <w:p w:rsidR="001B1541" w:rsidRPr="001B1541" w:rsidRDefault="001B1541" w:rsidP="001B1541">
            <w:pPr>
              <w:spacing w:after="0" w:line="240" w:lineRule="auto"/>
              <w:ind w:left="720" w:hanging="720"/>
              <w:jc w:val="right"/>
              <w:rPr>
                <w:rFonts w:eastAsia="Times New Roman" w:cs="Arial"/>
                <w:kern w:val="0"/>
                <w14:ligatures w14:val="none"/>
              </w:rPr>
            </w:pPr>
            <w:r w:rsidRPr="001B1541">
              <w:rPr>
                <w:rFonts w:eastAsia="Times New Roman" w:cs="Arial"/>
                <w:kern w:val="0"/>
                <w14:ligatures w14:val="none"/>
              </w:rPr>
              <w:t xml:space="preserve"> 68,808 </w:t>
            </w:r>
          </w:p>
        </w:tc>
        <w:tc>
          <w:tcPr>
            <w:tcW w:w="2530" w:type="dxa"/>
            <w:shd w:val="clear" w:color="auto" w:fill="auto"/>
          </w:tcPr>
          <w:p w:rsidR="001B1541" w:rsidRPr="001B1541" w:rsidRDefault="001B1541" w:rsidP="001B1541">
            <w:pPr>
              <w:spacing w:after="0" w:line="240" w:lineRule="auto"/>
              <w:ind w:left="720" w:hanging="720"/>
              <w:jc w:val="right"/>
              <w:rPr>
                <w:rFonts w:eastAsia="Times New Roman" w:cs="Arial"/>
                <w:kern w:val="0"/>
                <w14:ligatures w14:val="none"/>
              </w:rPr>
            </w:pPr>
            <w:r w:rsidRPr="001B1541">
              <w:rPr>
                <w:rFonts w:eastAsia="Times New Roman" w:cs="Arial"/>
                <w:kern w:val="0"/>
                <w14:ligatures w14:val="none"/>
              </w:rPr>
              <w:t>(185)</w:t>
            </w:r>
          </w:p>
        </w:tc>
      </w:tr>
      <w:tr w:rsidR="001B1541" w:rsidRPr="001B1541" w:rsidTr="00BB4E1B">
        <w:trPr>
          <w:trHeight w:val="396"/>
        </w:trPr>
        <w:tc>
          <w:tcPr>
            <w:tcW w:w="3179" w:type="dxa"/>
            <w:shd w:val="clear" w:color="auto" w:fill="auto"/>
          </w:tcPr>
          <w:p w:rsidR="001B1541" w:rsidRPr="001B1541" w:rsidRDefault="001B1541" w:rsidP="001B1541">
            <w:pPr>
              <w:spacing w:after="0" w:line="240" w:lineRule="auto"/>
              <w:ind w:left="720" w:hanging="720"/>
              <w:rPr>
                <w:rFonts w:eastAsia="Times New Roman" w:cs="Arial"/>
                <w:kern w:val="0"/>
                <w14:ligatures w14:val="none"/>
              </w:rPr>
            </w:pPr>
            <w:r w:rsidRPr="001B1541">
              <w:rPr>
                <w:rFonts w:eastAsia="Times New Roman" w:cs="Arial"/>
                <w:kern w:val="0"/>
                <w14:ligatures w14:val="none"/>
              </w:rPr>
              <w:t>Early Years Block</w:t>
            </w:r>
          </w:p>
        </w:tc>
        <w:tc>
          <w:tcPr>
            <w:tcW w:w="3059" w:type="dxa"/>
          </w:tcPr>
          <w:p w:rsidR="001B1541" w:rsidRPr="001B1541" w:rsidRDefault="001B1541" w:rsidP="001B1541">
            <w:pPr>
              <w:spacing w:after="0" w:line="240" w:lineRule="auto"/>
              <w:ind w:left="720" w:hanging="720"/>
              <w:jc w:val="right"/>
              <w:rPr>
                <w:rFonts w:eastAsia="Times New Roman" w:cs="Arial"/>
                <w:kern w:val="0"/>
                <w14:ligatures w14:val="none"/>
              </w:rPr>
            </w:pPr>
            <w:r w:rsidRPr="001B1541">
              <w:rPr>
                <w:rFonts w:eastAsia="Times New Roman" w:cs="Arial"/>
                <w:kern w:val="0"/>
                <w14:ligatures w14:val="none"/>
              </w:rPr>
              <w:t xml:space="preserve"> 24,011 </w:t>
            </w:r>
          </w:p>
        </w:tc>
        <w:tc>
          <w:tcPr>
            <w:tcW w:w="2530" w:type="dxa"/>
          </w:tcPr>
          <w:p w:rsidR="001B1541" w:rsidRPr="001B1541" w:rsidRDefault="001B1541" w:rsidP="001B1541">
            <w:pPr>
              <w:spacing w:after="0" w:line="240" w:lineRule="auto"/>
              <w:ind w:left="720" w:hanging="720"/>
              <w:jc w:val="right"/>
              <w:rPr>
                <w:rFonts w:eastAsia="Times New Roman" w:cs="Arial"/>
                <w:kern w:val="0"/>
                <w14:ligatures w14:val="none"/>
              </w:rPr>
            </w:pPr>
            <w:r w:rsidRPr="001B1541">
              <w:rPr>
                <w:rFonts w:eastAsia="Times New Roman" w:cs="Arial"/>
                <w:kern w:val="0"/>
                <w14:ligatures w14:val="none"/>
              </w:rPr>
              <w:t>305</w:t>
            </w:r>
          </w:p>
        </w:tc>
      </w:tr>
      <w:tr w:rsidR="001B1541" w:rsidRPr="001B1541" w:rsidTr="00BB4E1B">
        <w:trPr>
          <w:trHeight w:val="396"/>
        </w:trPr>
        <w:tc>
          <w:tcPr>
            <w:tcW w:w="3179" w:type="dxa"/>
            <w:shd w:val="clear" w:color="auto" w:fill="auto"/>
          </w:tcPr>
          <w:p w:rsidR="001B1541" w:rsidRPr="001B1541" w:rsidRDefault="001B1541" w:rsidP="001B1541">
            <w:pPr>
              <w:spacing w:after="0" w:line="240" w:lineRule="auto"/>
              <w:ind w:left="720" w:hanging="720"/>
              <w:rPr>
                <w:rFonts w:eastAsia="Times New Roman" w:cs="Arial"/>
                <w:b/>
                <w:kern w:val="0"/>
                <w14:ligatures w14:val="none"/>
              </w:rPr>
            </w:pPr>
            <w:r w:rsidRPr="001B1541">
              <w:rPr>
                <w:rFonts w:eastAsia="Times New Roman" w:cs="Arial"/>
                <w:b/>
                <w:kern w:val="0"/>
                <w14:ligatures w14:val="none"/>
              </w:rPr>
              <w:t>Total</w:t>
            </w:r>
          </w:p>
        </w:tc>
        <w:tc>
          <w:tcPr>
            <w:tcW w:w="3059" w:type="dxa"/>
          </w:tcPr>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kern w:val="0"/>
                <w14:ligatures w14:val="none"/>
              </w:rPr>
              <w:t>200,874</w:t>
            </w:r>
          </w:p>
        </w:tc>
        <w:tc>
          <w:tcPr>
            <w:tcW w:w="2530" w:type="dxa"/>
          </w:tcPr>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kern w:val="0"/>
                <w14:ligatures w14:val="none"/>
              </w:rPr>
              <w:t>(120)</w:t>
            </w:r>
          </w:p>
        </w:tc>
      </w:tr>
      <w:tr w:rsidR="001B1541" w:rsidRPr="001B1541" w:rsidTr="00BB4E1B">
        <w:trPr>
          <w:trHeight w:val="396"/>
        </w:trPr>
        <w:tc>
          <w:tcPr>
            <w:tcW w:w="3179" w:type="dxa"/>
            <w:shd w:val="clear" w:color="auto" w:fill="auto"/>
          </w:tcPr>
          <w:p w:rsidR="001B1541" w:rsidRPr="001B1541" w:rsidRDefault="001B1541" w:rsidP="001B1541">
            <w:pPr>
              <w:spacing w:after="0" w:line="240" w:lineRule="auto"/>
              <w:ind w:left="27"/>
              <w:rPr>
                <w:rFonts w:eastAsia="Times New Roman" w:cs="Arial"/>
                <w:b/>
                <w:kern w:val="0"/>
                <w14:ligatures w14:val="none"/>
              </w:rPr>
            </w:pPr>
            <w:r w:rsidRPr="001B1541">
              <w:rPr>
                <w:rFonts w:eastAsia="Times New Roman" w:cs="Arial"/>
                <w:b/>
                <w:kern w:val="0"/>
                <w14:ligatures w14:val="none"/>
              </w:rPr>
              <w:t>Deficit carry forward from 2022-23</w:t>
            </w:r>
          </w:p>
        </w:tc>
        <w:tc>
          <w:tcPr>
            <w:tcW w:w="3059" w:type="dxa"/>
          </w:tcPr>
          <w:p w:rsidR="001B1541" w:rsidRPr="001B1541" w:rsidRDefault="001B1541" w:rsidP="001B1541">
            <w:pPr>
              <w:spacing w:after="0" w:line="240" w:lineRule="auto"/>
              <w:ind w:left="720" w:hanging="720"/>
              <w:jc w:val="right"/>
              <w:rPr>
                <w:rFonts w:eastAsia="Times New Roman" w:cs="Arial"/>
                <w:b/>
                <w:bCs/>
                <w:kern w:val="0"/>
                <w14:ligatures w14:val="none"/>
              </w:rPr>
            </w:pPr>
          </w:p>
        </w:tc>
        <w:tc>
          <w:tcPr>
            <w:tcW w:w="2530" w:type="dxa"/>
          </w:tcPr>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bCs/>
                <w:kern w:val="0"/>
                <w14:ligatures w14:val="none"/>
              </w:rPr>
              <w:t xml:space="preserve">14,467 </w:t>
            </w:r>
          </w:p>
        </w:tc>
      </w:tr>
      <w:tr w:rsidR="001B1541" w:rsidRPr="001B1541" w:rsidTr="00BB4E1B">
        <w:trPr>
          <w:trHeight w:val="396"/>
        </w:trPr>
        <w:tc>
          <w:tcPr>
            <w:tcW w:w="3179" w:type="dxa"/>
            <w:shd w:val="clear" w:color="auto" w:fill="auto"/>
          </w:tcPr>
          <w:p w:rsidR="001B1541" w:rsidRPr="001B1541" w:rsidRDefault="001B1541" w:rsidP="001B1541">
            <w:pPr>
              <w:spacing w:after="0" w:line="240" w:lineRule="auto"/>
              <w:ind w:left="27"/>
              <w:rPr>
                <w:rFonts w:eastAsia="Times New Roman" w:cs="Arial"/>
                <w:b/>
                <w:kern w:val="0"/>
                <w14:ligatures w14:val="none"/>
              </w:rPr>
            </w:pPr>
            <w:r w:rsidRPr="001B1541">
              <w:rPr>
                <w:rFonts w:eastAsia="Times New Roman" w:cs="Arial"/>
                <w:b/>
                <w:kern w:val="0"/>
                <w14:ligatures w14:val="none"/>
              </w:rPr>
              <w:t xml:space="preserve">Cumulative deficit at the end of the year 2023-24 </w:t>
            </w:r>
          </w:p>
        </w:tc>
        <w:tc>
          <w:tcPr>
            <w:tcW w:w="3059" w:type="dxa"/>
          </w:tcPr>
          <w:p w:rsidR="001B1541" w:rsidRPr="001B1541" w:rsidRDefault="001B1541" w:rsidP="001B1541">
            <w:pPr>
              <w:spacing w:after="0" w:line="240" w:lineRule="auto"/>
              <w:ind w:left="720" w:hanging="720"/>
              <w:jc w:val="right"/>
              <w:rPr>
                <w:rFonts w:eastAsia="Times New Roman" w:cs="Arial"/>
                <w:b/>
                <w:kern w:val="0"/>
                <w14:ligatures w14:val="none"/>
              </w:rPr>
            </w:pPr>
          </w:p>
        </w:tc>
        <w:tc>
          <w:tcPr>
            <w:tcW w:w="2530" w:type="dxa"/>
          </w:tcPr>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kern w:val="0"/>
                <w14:ligatures w14:val="none"/>
              </w:rPr>
              <w:t>14,387</w:t>
            </w:r>
          </w:p>
        </w:tc>
      </w:tr>
      <w:tr w:rsidR="001B1541" w:rsidRPr="001B1541" w:rsidTr="00BB4E1B">
        <w:trPr>
          <w:trHeight w:val="396"/>
        </w:trPr>
        <w:tc>
          <w:tcPr>
            <w:tcW w:w="3179" w:type="dxa"/>
            <w:shd w:val="clear" w:color="auto" w:fill="auto"/>
          </w:tcPr>
          <w:p w:rsidR="001B1541" w:rsidRPr="001B1541" w:rsidRDefault="001B1541" w:rsidP="001B1541">
            <w:pPr>
              <w:spacing w:after="0" w:line="240" w:lineRule="auto"/>
              <w:ind w:left="27"/>
              <w:rPr>
                <w:rFonts w:eastAsia="Times New Roman" w:cs="Arial"/>
                <w:b/>
                <w:kern w:val="0"/>
                <w14:ligatures w14:val="none"/>
              </w:rPr>
            </w:pPr>
            <w:r w:rsidRPr="001B1541">
              <w:rPr>
                <w:rFonts w:eastAsia="Times New Roman" w:cs="Arial"/>
                <w:b/>
                <w:kern w:val="0"/>
                <w14:ligatures w14:val="none"/>
              </w:rPr>
              <w:t>Safety Valve Contribution</w:t>
            </w:r>
          </w:p>
        </w:tc>
        <w:tc>
          <w:tcPr>
            <w:tcW w:w="3059" w:type="dxa"/>
          </w:tcPr>
          <w:p w:rsidR="001B1541" w:rsidRPr="001B1541" w:rsidRDefault="001B1541" w:rsidP="001B1541">
            <w:pPr>
              <w:spacing w:after="0" w:line="240" w:lineRule="auto"/>
              <w:ind w:left="720" w:hanging="720"/>
              <w:jc w:val="right"/>
              <w:rPr>
                <w:rFonts w:eastAsia="Times New Roman" w:cs="Arial"/>
                <w:b/>
                <w:kern w:val="0"/>
                <w14:ligatures w14:val="none"/>
              </w:rPr>
            </w:pPr>
          </w:p>
        </w:tc>
        <w:tc>
          <w:tcPr>
            <w:tcW w:w="2530" w:type="dxa"/>
          </w:tcPr>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kern w:val="0"/>
                <w14:ligatures w14:val="none"/>
              </w:rPr>
              <w:t>-2,770</w:t>
            </w:r>
          </w:p>
        </w:tc>
      </w:tr>
      <w:tr w:rsidR="001B1541" w:rsidRPr="001B1541" w:rsidTr="00BB4E1B">
        <w:trPr>
          <w:trHeight w:val="396"/>
        </w:trPr>
        <w:tc>
          <w:tcPr>
            <w:tcW w:w="3179" w:type="dxa"/>
            <w:shd w:val="clear" w:color="auto" w:fill="auto"/>
          </w:tcPr>
          <w:p w:rsidR="001B1541" w:rsidRPr="001B1541" w:rsidRDefault="001B1541" w:rsidP="001B1541">
            <w:pPr>
              <w:spacing w:after="0" w:line="240" w:lineRule="auto"/>
              <w:ind w:left="27"/>
              <w:rPr>
                <w:rFonts w:eastAsia="Times New Roman" w:cs="Arial"/>
                <w:b/>
                <w:kern w:val="0"/>
                <w14:ligatures w14:val="none"/>
              </w:rPr>
            </w:pPr>
            <w:r w:rsidRPr="001B1541">
              <w:rPr>
                <w:rFonts w:eastAsia="Times New Roman" w:cs="Arial"/>
                <w:b/>
                <w:kern w:val="0"/>
                <w14:ligatures w14:val="none"/>
              </w:rPr>
              <w:t>Final Cumulative Deficit for 2023-24</w:t>
            </w:r>
          </w:p>
        </w:tc>
        <w:tc>
          <w:tcPr>
            <w:tcW w:w="3059" w:type="dxa"/>
          </w:tcPr>
          <w:p w:rsidR="001B1541" w:rsidRPr="001B1541" w:rsidRDefault="001B1541" w:rsidP="001B1541">
            <w:pPr>
              <w:spacing w:after="0" w:line="240" w:lineRule="auto"/>
              <w:ind w:left="720" w:hanging="720"/>
              <w:jc w:val="right"/>
              <w:rPr>
                <w:rFonts w:eastAsia="Times New Roman" w:cs="Arial"/>
                <w:b/>
                <w:kern w:val="0"/>
                <w14:ligatures w14:val="none"/>
              </w:rPr>
            </w:pPr>
          </w:p>
        </w:tc>
        <w:tc>
          <w:tcPr>
            <w:tcW w:w="2530" w:type="dxa"/>
          </w:tcPr>
          <w:p w:rsidR="001B1541" w:rsidRPr="001B1541" w:rsidRDefault="001B1541" w:rsidP="001B1541">
            <w:pPr>
              <w:spacing w:after="0" w:line="240" w:lineRule="auto"/>
              <w:ind w:left="720" w:hanging="720"/>
              <w:jc w:val="right"/>
              <w:rPr>
                <w:rFonts w:eastAsia="Times New Roman" w:cs="Arial"/>
                <w:b/>
                <w:kern w:val="0"/>
                <w14:ligatures w14:val="none"/>
              </w:rPr>
            </w:pPr>
            <w:r w:rsidRPr="001B1541">
              <w:rPr>
                <w:rFonts w:eastAsia="Times New Roman" w:cs="Arial"/>
                <w:b/>
                <w:kern w:val="0"/>
                <w14:ligatures w14:val="none"/>
              </w:rPr>
              <w:t>11,617</w:t>
            </w:r>
          </w:p>
        </w:tc>
      </w:tr>
    </w:tbl>
    <w:p w:rsidR="001B1541" w:rsidRDefault="001B1541" w:rsidP="001B1541">
      <w:pPr>
        <w:ind w:left="567"/>
        <w:jc w:val="both"/>
      </w:pPr>
    </w:p>
    <w:p w:rsidR="001B1541" w:rsidRDefault="001B1541" w:rsidP="001B1541">
      <w:pPr>
        <w:ind w:left="567"/>
        <w:jc w:val="both"/>
      </w:pPr>
    </w:p>
    <w:p w:rsidR="001B1541" w:rsidRDefault="001B1541" w:rsidP="001B1541">
      <w:pPr>
        <w:ind w:left="567"/>
        <w:jc w:val="both"/>
      </w:pPr>
    </w:p>
    <w:p w:rsidR="001B1541" w:rsidRDefault="001B1541" w:rsidP="001B1541">
      <w:pPr>
        <w:ind w:left="567"/>
        <w:jc w:val="both"/>
      </w:pPr>
    </w:p>
    <w:p w:rsidR="001B1541" w:rsidRDefault="001B1541" w:rsidP="001B1541">
      <w:pPr>
        <w:ind w:left="567"/>
        <w:jc w:val="both"/>
      </w:pPr>
    </w:p>
    <w:p w:rsidR="001B1541" w:rsidRDefault="001B1541" w:rsidP="001B1541">
      <w:pPr>
        <w:ind w:left="567"/>
        <w:jc w:val="both"/>
      </w:pPr>
    </w:p>
    <w:p w:rsidR="001B1541" w:rsidRDefault="001B1541" w:rsidP="001B1541">
      <w:pPr>
        <w:ind w:left="567"/>
        <w:jc w:val="both"/>
      </w:pPr>
    </w:p>
    <w:p w:rsidR="001B1541" w:rsidRDefault="001B1541" w:rsidP="001B1541">
      <w:pPr>
        <w:ind w:left="567"/>
        <w:jc w:val="both"/>
      </w:pPr>
    </w:p>
    <w:p w:rsidR="001B1541" w:rsidRDefault="001B1541" w:rsidP="001B1541">
      <w:pPr>
        <w:ind w:left="567"/>
        <w:jc w:val="both"/>
      </w:pPr>
    </w:p>
    <w:p w:rsidR="001B1541" w:rsidRDefault="001B1541" w:rsidP="001B1541">
      <w:pPr>
        <w:ind w:left="567"/>
        <w:jc w:val="both"/>
      </w:pPr>
    </w:p>
    <w:p w:rsidR="001B1541" w:rsidRDefault="001B1541" w:rsidP="005B4092">
      <w:pPr>
        <w:pStyle w:val="Heading2"/>
      </w:pPr>
      <w:r>
        <w:t>High Needs</w:t>
      </w:r>
    </w:p>
    <w:p w:rsidR="001B1541" w:rsidRDefault="001B1541" w:rsidP="001B1541">
      <w:pPr>
        <w:ind w:left="567"/>
        <w:jc w:val="both"/>
      </w:pPr>
      <w:r w:rsidRPr="001B1541">
        <w:t>The High Needs block remains the main risk area in the DSG but is currently forecasting a small understand of £185k for the current financial year. There is ongoing work around processing of EHCP’s and improving SEND data as part of the general Safety Valve work and as a result, there may still be variation in this forecast before the final outturn is reached. There continues to be pressure from growing numbers of EHCP as well as inflationary costs from the independent sector. As this is a needs led budget this forecast is highly variable. Although the current position is positive and that remains good news, it remains extremely challenging to meet the savings requirements to maintain a sustainable High Needs block going into future financial years and there are still significant challenges ahead from rising numbers and inflationary pressures.</w:t>
      </w:r>
    </w:p>
    <w:p w:rsidR="001B1541" w:rsidRDefault="001B1541" w:rsidP="001B1541">
      <w:pPr>
        <w:ind w:left="567"/>
        <w:jc w:val="both"/>
      </w:pPr>
      <w:r w:rsidRPr="001B1541">
        <w:t>Southwark continue to be a part of the Safety Valve programme with the DfE and our recent monitoring has been accepted by the DfE. This means the final instalment of the additional funding for 2023-24 has been approved, and will be received before year end, bringing the total for 2023-24 to £2.7m.</w:t>
      </w:r>
    </w:p>
    <w:p w:rsidR="005B4092" w:rsidRDefault="005B4092" w:rsidP="001B1541">
      <w:pPr>
        <w:ind w:left="567"/>
        <w:jc w:val="both"/>
      </w:pPr>
    </w:p>
    <w:p w:rsidR="001B1541" w:rsidRDefault="001B1541" w:rsidP="001B1541">
      <w:pPr>
        <w:ind w:left="567"/>
        <w:jc w:val="both"/>
      </w:pPr>
    </w:p>
    <w:p w:rsidR="001B1541" w:rsidRDefault="001B1541" w:rsidP="005B4092">
      <w:pPr>
        <w:pStyle w:val="Heading2"/>
      </w:pPr>
      <w:r>
        <w:t>Central Block</w:t>
      </w:r>
    </w:p>
    <w:p w:rsidR="001B1541" w:rsidRDefault="001B1541" w:rsidP="00F409B4">
      <w:pPr>
        <w:ind w:left="567"/>
      </w:pPr>
      <w:r w:rsidRPr="001B1541">
        <w:t>The central block is currently forecasting an underspend of £200k which is hoped will offset the anticipated overspend on the early years block.  As previously raised with forum, the LA are undertaking a review of central expenditure over the coming year to ensure it is being used to best effect and value.</w:t>
      </w:r>
    </w:p>
    <w:p w:rsidR="00F409B4" w:rsidRDefault="00F409B4" w:rsidP="005B4092">
      <w:pPr>
        <w:pStyle w:val="Heading2"/>
      </w:pPr>
      <w:r>
        <w:t>Early Years Block</w:t>
      </w:r>
    </w:p>
    <w:p w:rsidR="00F409B4" w:rsidRDefault="00F409B4" w:rsidP="00F409B4">
      <w:pPr>
        <w:ind w:left="567"/>
        <w:jc w:val="both"/>
      </w:pPr>
      <w:r w:rsidRPr="00F409B4">
        <w:t>The Early Years block is currently forecasting an overspend of £305k. This figure remains an estimate and the final outturn will be dependent on the final January Census figures as well as final SENDIF costs. This overspend is largely due to the Early Years figures from January census, on which the Local Authority funding is based, not being as high as anticipated.</w:t>
      </w:r>
    </w:p>
    <w:p w:rsidR="00F409B4" w:rsidRDefault="00F409B4" w:rsidP="00F409B4">
      <w:pPr>
        <w:ind w:left="567"/>
        <w:jc w:val="both"/>
      </w:pPr>
      <w:r w:rsidRPr="00F409B4">
        <w:t>As hourly rates are set prior to the financial year, there is very little to control during the course of the year and the outturn for Early Years is heavily dependent on the January Census. At time of writing the census is not yet finalised and it is possible that the figure may still move before year end.</w:t>
      </w:r>
    </w:p>
    <w:p w:rsidR="00F409B4" w:rsidRDefault="00F409B4" w:rsidP="005B4092">
      <w:pPr>
        <w:pStyle w:val="Heading2"/>
      </w:pPr>
      <w:r>
        <w:t>Financial Position on de-delegated budgets, growth fund and falling rolls fund</w:t>
      </w:r>
    </w:p>
    <w:p w:rsidR="00F409B4" w:rsidRDefault="00F409B4" w:rsidP="00F409B4">
      <w:pPr>
        <w:ind w:firstLine="567"/>
        <w:jc w:val="both"/>
      </w:pPr>
      <w:r w:rsidRPr="00F409B4">
        <w:t>The summary position is shown in the table below</w:t>
      </w:r>
      <w:r>
        <w:t>.</w:t>
      </w:r>
    </w:p>
    <w:tbl>
      <w:tblPr>
        <w:tblW w:w="9340"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 Financial position on de-delegated budgets and growth fund "/>
        <w:tblDescription w:val="This table shows the summary position of Financial position on de-delegated budgets and growth fund "/>
      </w:tblPr>
      <w:tblGrid>
        <w:gridCol w:w="3322"/>
        <w:gridCol w:w="1276"/>
        <w:gridCol w:w="2126"/>
        <w:gridCol w:w="2616"/>
      </w:tblGrid>
      <w:tr w:rsidR="00F409B4" w:rsidRPr="00F409B4" w:rsidTr="00F409B4">
        <w:trPr>
          <w:tblHeader/>
        </w:trPr>
        <w:tc>
          <w:tcPr>
            <w:tcW w:w="3322" w:type="dxa"/>
            <w:shd w:val="clear" w:color="auto" w:fill="E7E6E6"/>
          </w:tcPr>
          <w:p w:rsidR="00F409B4" w:rsidRPr="00F409B4" w:rsidRDefault="00F409B4" w:rsidP="00F409B4">
            <w:pPr>
              <w:spacing w:after="0" w:line="240" w:lineRule="auto"/>
              <w:ind w:left="720" w:hanging="720"/>
              <w:rPr>
                <w:rFonts w:eastAsia="Times New Roman" w:cs="Arial"/>
                <w:kern w:val="0"/>
                <w14:ligatures w14:val="none"/>
              </w:rPr>
            </w:pPr>
            <w:r w:rsidRPr="00F409B4">
              <w:rPr>
                <w:rFonts w:eastAsia="Times New Roman" w:cs="Arial"/>
                <w:kern w:val="0"/>
                <w14:ligatures w14:val="none"/>
              </w:rPr>
              <w:br w:type="page"/>
              <w:t>2023-24</w:t>
            </w:r>
          </w:p>
        </w:tc>
        <w:tc>
          <w:tcPr>
            <w:tcW w:w="1276" w:type="dxa"/>
            <w:shd w:val="clear" w:color="auto" w:fill="E7E6E6"/>
          </w:tcPr>
          <w:p w:rsidR="00F409B4" w:rsidRPr="00F409B4" w:rsidRDefault="00F409B4" w:rsidP="00F409B4">
            <w:pPr>
              <w:spacing w:after="0" w:line="240" w:lineRule="auto"/>
              <w:rPr>
                <w:rFonts w:eastAsia="Times New Roman" w:cs="Arial"/>
                <w:kern w:val="0"/>
                <w14:ligatures w14:val="none"/>
              </w:rPr>
            </w:pPr>
            <w:r>
              <w:rPr>
                <w:rFonts w:eastAsia="Times New Roman" w:cs="Arial"/>
                <w:kern w:val="0"/>
                <w14:ligatures w14:val="none"/>
              </w:rPr>
              <w:t xml:space="preserve">    </w:t>
            </w:r>
            <w:r w:rsidRPr="00F409B4">
              <w:rPr>
                <w:rFonts w:eastAsia="Times New Roman" w:cs="Arial"/>
                <w:kern w:val="0"/>
                <w14:ligatures w14:val="none"/>
              </w:rPr>
              <w:t xml:space="preserve">Budget </w:t>
            </w:r>
          </w:p>
          <w:p w:rsidR="00F409B4" w:rsidRPr="00F409B4" w:rsidRDefault="00F409B4" w:rsidP="00F409B4">
            <w:pPr>
              <w:spacing w:after="0" w:line="240" w:lineRule="auto"/>
              <w:rPr>
                <w:rFonts w:eastAsia="Times New Roman" w:cs="Arial"/>
                <w:kern w:val="0"/>
                <w14:ligatures w14:val="none"/>
              </w:rPr>
            </w:pPr>
            <w:r>
              <w:rPr>
                <w:rFonts w:eastAsia="Times New Roman" w:cs="Arial"/>
                <w:kern w:val="0"/>
                <w14:ligatures w14:val="none"/>
              </w:rPr>
              <w:t xml:space="preserve">          </w:t>
            </w:r>
            <w:r w:rsidRPr="00F409B4">
              <w:rPr>
                <w:rFonts w:eastAsia="Times New Roman" w:cs="Arial"/>
                <w:kern w:val="0"/>
                <w14:ligatures w14:val="none"/>
              </w:rPr>
              <w:t>£m</w:t>
            </w:r>
          </w:p>
        </w:tc>
        <w:tc>
          <w:tcPr>
            <w:tcW w:w="2126" w:type="dxa"/>
            <w:shd w:val="clear" w:color="auto" w:fill="E7E6E6"/>
          </w:tcPr>
          <w:p w:rsidR="00F409B4" w:rsidRPr="00F409B4" w:rsidRDefault="00F409B4" w:rsidP="00F409B4">
            <w:pPr>
              <w:spacing w:after="0" w:line="240" w:lineRule="auto"/>
              <w:rPr>
                <w:rFonts w:eastAsia="Times New Roman" w:cs="Arial"/>
                <w:kern w:val="0"/>
                <w14:ligatures w14:val="none"/>
              </w:rPr>
            </w:pPr>
            <w:r>
              <w:rPr>
                <w:rFonts w:eastAsia="Times New Roman" w:cs="Arial"/>
                <w:kern w:val="0"/>
                <w14:ligatures w14:val="none"/>
              </w:rPr>
              <w:t xml:space="preserve"> Forecast</w:t>
            </w:r>
            <w:r w:rsidRPr="00F409B4">
              <w:rPr>
                <w:rFonts w:eastAsia="Times New Roman" w:cs="Arial"/>
                <w:kern w:val="0"/>
                <w14:ligatures w14:val="none"/>
              </w:rPr>
              <w:t xml:space="preserve"> Outturn</w:t>
            </w:r>
          </w:p>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£m</w:t>
            </w:r>
          </w:p>
        </w:tc>
        <w:tc>
          <w:tcPr>
            <w:tcW w:w="2616" w:type="dxa"/>
            <w:shd w:val="clear" w:color="auto" w:fill="E7E6E6"/>
          </w:tcPr>
          <w:p w:rsidR="00F409B4" w:rsidRPr="00F409B4" w:rsidRDefault="00F409B4" w:rsidP="00F409B4">
            <w:pPr>
              <w:spacing w:after="0" w:line="240" w:lineRule="auto"/>
              <w:rPr>
                <w:rFonts w:eastAsia="Times New Roman" w:cs="Arial"/>
                <w:kern w:val="0"/>
                <w14:ligatures w14:val="none"/>
              </w:rPr>
            </w:pPr>
            <w:r>
              <w:rPr>
                <w:rFonts w:eastAsia="Times New Roman" w:cs="Arial"/>
                <w:kern w:val="0"/>
                <w14:ligatures w14:val="none"/>
              </w:rPr>
              <w:t xml:space="preserve">  </w:t>
            </w:r>
            <w:r w:rsidRPr="00F409B4">
              <w:rPr>
                <w:rFonts w:eastAsia="Times New Roman" w:cs="Arial"/>
                <w:kern w:val="0"/>
                <w14:ligatures w14:val="none"/>
              </w:rPr>
              <w:t>Over/ (Underspends)</w:t>
            </w:r>
          </w:p>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£m</w:t>
            </w:r>
          </w:p>
        </w:tc>
      </w:tr>
      <w:tr w:rsidR="00F409B4" w:rsidRPr="00F409B4" w:rsidTr="000A0596">
        <w:trPr>
          <w:trHeight w:val="254"/>
        </w:trPr>
        <w:tc>
          <w:tcPr>
            <w:tcW w:w="3322" w:type="dxa"/>
            <w:shd w:val="clear" w:color="auto" w:fill="auto"/>
          </w:tcPr>
          <w:p w:rsidR="00F409B4" w:rsidRPr="00F409B4" w:rsidRDefault="00F409B4" w:rsidP="00F409B4">
            <w:pPr>
              <w:spacing w:after="0" w:line="240" w:lineRule="auto"/>
              <w:ind w:left="720" w:hanging="720"/>
              <w:rPr>
                <w:rFonts w:eastAsia="Times New Roman" w:cs="Arial"/>
                <w:b/>
                <w:kern w:val="0"/>
                <w14:ligatures w14:val="none"/>
              </w:rPr>
            </w:pPr>
            <w:r w:rsidRPr="00F409B4">
              <w:rPr>
                <w:rFonts w:eastAsia="Times New Roman" w:cs="Arial"/>
                <w:b/>
                <w:kern w:val="0"/>
                <w14:ligatures w14:val="none"/>
              </w:rPr>
              <w:t>De-delegated Amounts</w:t>
            </w:r>
          </w:p>
        </w:tc>
        <w:tc>
          <w:tcPr>
            <w:tcW w:w="1276" w:type="dxa"/>
            <w:shd w:val="clear" w:color="auto" w:fill="auto"/>
          </w:tcPr>
          <w:p w:rsidR="00F409B4" w:rsidRPr="00F409B4" w:rsidRDefault="00F409B4" w:rsidP="00F409B4">
            <w:pPr>
              <w:spacing w:after="0" w:line="240" w:lineRule="auto"/>
              <w:ind w:left="720" w:hanging="720"/>
              <w:jc w:val="right"/>
              <w:rPr>
                <w:rFonts w:eastAsia="Times New Roman" w:cs="Arial"/>
                <w:kern w:val="0"/>
                <w14:ligatures w14:val="none"/>
              </w:rPr>
            </w:pPr>
          </w:p>
        </w:tc>
        <w:tc>
          <w:tcPr>
            <w:tcW w:w="2126" w:type="dxa"/>
          </w:tcPr>
          <w:p w:rsidR="00F409B4" w:rsidRPr="00F409B4" w:rsidRDefault="00F409B4" w:rsidP="00F409B4">
            <w:pPr>
              <w:spacing w:after="0" w:line="240" w:lineRule="auto"/>
              <w:ind w:left="720" w:hanging="720"/>
              <w:jc w:val="right"/>
              <w:rPr>
                <w:rFonts w:eastAsia="Times New Roman" w:cs="Arial"/>
                <w:kern w:val="0"/>
                <w14:ligatures w14:val="none"/>
              </w:rPr>
            </w:pPr>
          </w:p>
        </w:tc>
        <w:tc>
          <w:tcPr>
            <w:tcW w:w="2616" w:type="dxa"/>
            <w:shd w:val="clear" w:color="auto" w:fill="auto"/>
          </w:tcPr>
          <w:p w:rsidR="00F409B4" w:rsidRPr="00F409B4" w:rsidRDefault="00F409B4" w:rsidP="00F409B4">
            <w:pPr>
              <w:spacing w:after="0" w:line="240" w:lineRule="auto"/>
              <w:ind w:left="720" w:hanging="720"/>
              <w:jc w:val="right"/>
              <w:rPr>
                <w:rFonts w:eastAsia="Times New Roman" w:cs="Arial"/>
                <w:kern w:val="0"/>
                <w14:ligatures w14:val="none"/>
              </w:rPr>
            </w:pPr>
          </w:p>
        </w:tc>
      </w:tr>
      <w:tr w:rsidR="00F409B4" w:rsidRPr="00F409B4" w:rsidTr="000A0596">
        <w:trPr>
          <w:trHeight w:val="244"/>
        </w:trPr>
        <w:tc>
          <w:tcPr>
            <w:tcW w:w="3322" w:type="dxa"/>
            <w:shd w:val="clear" w:color="auto" w:fill="auto"/>
          </w:tcPr>
          <w:p w:rsidR="00F409B4" w:rsidRPr="00F409B4" w:rsidRDefault="00F409B4" w:rsidP="00F409B4">
            <w:pPr>
              <w:spacing w:after="0" w:line="240" w:lineRule="auto"/>
              <w:rPr>
                <w:rFonts w:eastAsia="Times New Roman" w:cs="Arial"/>
                <w:kern w:val="0"/>
                <w14:ligatures w14:val="none"/>
              </w:rPr>
            </w:pPr>
            <w:r w:rsidRPr="00F409B4">
              <w:rPr>
                <w:rFonts w:eastAsia="Times New Roman" w:cs="Arial"/>
                <w:kern w:val="0"/>
                <w14:ligatures w14:val="none"/>
              </w:rPr>
              <w:t>Schools in financial difficulty*</w:t>
            </w:r>
          </w:p>
        </w:tc>
        <w:tc>
          <w:tcPr>
            <w:tcW w:w="1276" w:type="dxa"/>
            <w:shd w:val="clear" w:color="auto" w:fill="auto"/>
          </w:tcPr>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0.6</w:t>
            </w:r>
          </w:p>
        </w:tc>
        <w:tc>
          <w:tcPr>
            <w:tcW w:w="2126" w:type="dxa"/>
          </w:tcPr>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0.6</w:t>
            </w:r>
          </w:p>
        </w:tc>
        <w:tc>
          <w:tcPr>
            <w:tcW w:w="2616" w:type="dxa"/>
            <w:shd w:val="clear" w:color="auto" w:fill="auto"/>
          </w:tcPr>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w:t>
            </w:r>
          </w:p>
        </w:tc>
      </w:tr>
      <w:tr w:rsidR="00F409B4" w:rsidRPr="00F409B4" w:rsidTr="000A0596">
        <w:trPr>
          <w:trHeight w:val="248"/>
        </w:trPr>
        <w:tc>
          <w:tcPr>
            <w:tcW w:w="3322" w:type="dxa"/>
            <w:shd w:val="clear" w:color="auto" w:fill="auto"/>
          </w:tcPr>
          <w:p w:rsidR="00F409B4" w:rsidRPr="00F409B4" w:rsidRDefault="00F409B4" w:rsidP="00F409B4">
            <w:pPr>
              <w:spacing w:after="0" w:line="240" w:lineRule="auto"/>
              <w:ind w:left="720" w:hanging="720"/>
              <w:rPr>
                <w:rFonts w:eastAsia="Times New Roman" w:cs="Arial"/>
                <w:kern w:val="0"/>
                <w14:ligatures w14:val="none"/>
              </w:rPr>
            </w:pPr>
            <w:r w:rsidRPr="00F409B4">
              <w:rPr>
                <w:rFonts w:eastAsia="Times New Roman" w:cs="Arial"/>
                <w:kern w:val="0"/>
                <w14:ligatures w14:val="none"/>
              </w:rPr>
              <w:t>Maternity</w:t>
            </w:r>
          </w:p>
        </w:tc>
        <w:tc>
          <w:tcPr>
            <w:tcW w:w="1276" w:type="dxa"/>
            <w:shd w:val="clear" w:color="auto" w:fill="auto"/>
          </w:tcPr>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0.5</w:t>
            </w:r>
          </w:p>
        </w:tc>
        <w:tc>
          <w:tcPr>
            <w:tcW w:w="2126" w:type="dxa"/>
          </w:tcPr>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0.3</w:t>
            </w:r>
          </w:p>
        </w:tc>
        <w:tc>
          <w:tcPr>
            <w:tcW w:w="2616" w:type="dxa"/>
            <w:shd w:val="clear" w:color="auto" w:fill="auto"/>
          </w:tcPr>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 xml:space="preserve">(0.2) </w:t>
            </w:r>
          </w:p>
        </w:tc>
      </w:tr>
      <w:tr w:rsidR="00F409B4" w:rsidRPr="00F409B4" w:rsidTr="000A0596">
        <w:trPr>
          <w:trHeight w:val="252"/>
        </w:trPr>
        <w:tc>
          <w:tcPr>
            <w:tcW w:w="3322" w:type="dxa"/>
            <w:shd w:val="clear" w:color="auto" w:fill="auto"/>
          </w:tcPr>
          <w:p w:rsidR="00F409B4" w:rsidRPr="00F409B4" w:rsidRDefault="00F409B4" w:rsidP="00F409B4">
            <w:pPr>
              <w:spacing w:after="0" w:line="240" w:lineRule="auto"/>
              <w:ind w:left="720" w:hanging="720"/>
              <w:rPr>
                <w:rFonts w:eastAsia="Times New Roman" w:cs="Arial"/>
                <w:kern w:val="0"/>
                <w14:ligatures w14:val="none"/>
              </w:rPr>
            </w:pPr>
            <w:r w:rsidRPr="00F409B4">
              <w:rPr>
                <w:rFonts w:eastAsia="Times New Roman" w:cs="Arial"/>
                <w:kern w:val="0"/>
                <w14:ligatures w14:val="none"/>
              </w:rPr>
              <w:t>Trade Unions</w:t>
            </w:r>
            <w:r w:rsidRPr="00F409B4">
              <w:rPr>
                <w:rFonts w:eastAsia="Times New Roman" w:cs="Arial"/>
                <w:kern w:val="0"/>
                <w14:ligatures w14:val="none"/>
              </w:rPr>
              <w:tab/>
            </w:r>
          </w:p>
        </w:tc>
        <w:tc>
          <w:tcPr>
            <w:tcW w:w="1276" w:type="dxa"/>
            <w:shd w:val="clear" w:color="auto" w:fill="auto"/>
          </w:tcPr>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0.1</w:t>
            </w:r>
          </w:p>
        </w:tc>
        <w:tc>
          <w:tcPr>
            <w:tcW w:w="2126" w:type="dxa"/>
          </w:tcPr>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0.1</w:t>
            </w:r>
          </w:p>
        </w:tc>
        <w:tc>
          <w:tcPr>
            <w:tcW w:w="2616" w:type="dxa"/>
            <w:shd w:val="clear" w:color="auto" w:fill="auto"/>
          </w:tcPr>
          <w:p w:rsidR="00F409B4" w:rsidRPr="00F409B4" w:rsidRDefault="00F409B4" w:rsidP="00F409B4">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 xml:space="preserve">0 </w:t>
            </w:r>
          </w:p>
        </w:tc>
      </w:tr>
    </w:tbl>
    <w:p w:rsidR="00F409B4" w:rsidRPr="005B4092" w:rsidRDefault="00F409B4" w:rsidP="00F409B4">
      <w:pPr>
        <w:ind w:firstLine="567"/>
        <w:jc w:val="both"/>
        <w:rPr>
          <w:sz w:val="12"/>
          <w:szCs w:val="12"/>
        </w:rPr>
      </w:pPr>
    </w:p>
    <w:tbl>
      <w:tblPr>
        <w:tblW w:w="9340"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 Financial position on de-delegated budgets and growth fund "/>
        <w:tblDescription w:val="This table shows the summary position of Financial position on de-delegated budgets and growth fund "/>
      </w:tblPr>
      <w:tblGrid>
        <w:gridCol w:w="3322"/>
        <w:gridCol w:w="1276"/>
        <w:gridCol w:w="2126"/>
        <w:gridCol w:w="2616"/>
      </w:tblGrid>
      <w:tr w:rsidR="000A0596" w:rsidRPr="00F409B4" w:rsidTr="00BB4E1B">
        <w:trPr>
          <w:tblHeader/>
        </w:trPr>
        <w:tc>
          <w:tcPr>
            <w:tcW w:w="3322" w:type="dxa"/>
            <w:shd w:val="clear" w:color="auto" w:fill="E7E6E6"/>
          </w:tcPr>
          <w:p w:rsidR="000A0596" w:rsidRPr="00F409B4" w:rsidRDefault="000A0596" w:rsidP="00BB4E1B">
            <w:pPr>
              <w:spacing w:after="0" w:line="240" w:lineRule="auto"/>
              <w:ind w:left="720" w:hanging="720"/>
              <w:rPr>
                <w:rFonts w:eastAsia="Times New Roman" w:cs="Arial"/>
                <w:kern w:val="0"/>
                <w14:ligatures w14:val="none"/>
              </w:rPr>
            </w:pPr>
            <w:r w:rsidRPr="00F409B4">
              <w:rPr>
                <w:rFonts w:eastAsia="Times New Roman" w:cs="Arial"/>
                <w:kern w:val="0"/>
                <w14:ligatures w14:val="none"/>
              </w:rPr>
              <w:br w:type="page"/>
              <w:t>2023-24</w:t>
            </w:r>
          </w:p>
        </w:tc>
        <w:tc>
          <w:tcPr>
            <w:tcW w:w="1276" w:type="dxa"/>
            <w:shd w:val="clear" w:color="auto" w:fill="E7E6E6"/>
          </w:tcPr>
          <w:p w:rsidR="000A0596" w:rsidRPr="00F409B4" w:rsidRDefault="000A0596" w:rsidP="00BB4E1B">
            <w:pPr>
              <w:spacing w:after="0" w:line="240" w:lineRule="auto"/>
              <w:rPr>
                <w:rFonts w:eastAsia="Times New Roman" w:cs="Arial"/>
                <w:kern w:val="0"/>
                <w14:ligatures w14:val="none"/>
              </w:rPr>
            </w:pPr>
            <w:r>
              <w:rPr>
                <w:rFonts w:eastAsia="Times New Roman" w:cs="Arial"/>
                <w:kern w:val="0"/>
                <w14:ligatures w14:val="none"/>
              </w:rPr>
              <w:t xml:space="preserve">    </w:t>
            </w:r>
            <w:r w:rsidRPr="00F409B4">
              <w:rPr>
                <w:rFonts w:eastAsia="Times New Roman" w:cs="Arial"/>
                <w:kern w:val="0"/>
                <w14:ligatures w14:val="none"/>
              </w:rPr>
              <w:t xml:space="preserve">Budget </w:t>
            </w:r>
          </w:p>
          <w:p w:rsidR="000A0596" w:rsidRPr="00F409B4" w:rsidRDefault="000A0596" w:rsidP="00BB4E1B">
            <w:pPr>
              <w:spacing w:after="0" w:line="240" w:lineRule="auto"/>
              <w:rPr>
                <w:rFonts w:eastAsia="Times New Roman" w:cs="Arial"/>
                <w:kern w:val="0"/>
                <w14:ligatures w14:val="none"/>
              </w:rPr>
            </w:pPr>
            <w:r>
              <w:rPr>
                <w:rFonts w:eastAsia="Times New Roman" w:cs="Arial"/>
                <w:kern w:val="0"/>
                <w14:ligatures w14:val="none"/>
              </w:rPr>
              <w:t xml:space="preserve">          </w:t>
            </w:r>
            <w:r w:rsidRPr="00F409B4">
              <w:rPr>
                <w:rFonts w:eastAsia="Times New Roman" w:cs="Arial"/>
                <w:kern w:val="0"/>
                <w14:ligatures w14:val="none"/>
              </w:rPr>
              <w:t>£m</w:t>
            </w:r>
          </w:p>
        </w:tc>
        <w:tc>
          <w:tcPr>
            <w:tcW w:w="2126" w:type="dxa"/>
            <w:shd w:val="clear" w:color="auto" w:fill="E7E6E6"/>
          </w:tcPr>
          <w:p w:rsidR="000A0596" w:rsidRPr="00F409B4" w:rsidRDefault="000A0596" w:rsidP="00BB4E1B">
            <w:pPr>
              <w:spacing w:after="0" w:line="240" w:lineRule="auto"/>
              <w:rPr>
                <w:rFonts w:eastAsia="Times New Roman" w:cs="Arial"/>
                <w:kern w:val="0"/>
                <w14:ligatures w14:val="none"/>
              </w:rPr>
            </w:pPr>
            <w:r>
              <w:rPr>
                <w:rFonts w:eastAsia="Times New Roman" w:cs="Arial"/>
                <w:kern w:val="0"/>
                <w14:ligatures w14:val="none"/>
              </w:rPr>
              <w:t xml:space="preserve"> Forecast</w:t>
            </w:r>
            <w:r w:rsidRPr="00F409B4">
              <w:rPr>
                <w:rFonts w:eastAsia="Times New Roman" w:cs="Arial"/>
                <w:kern w:val="0"/>
                <w14:ligatures w14:val="none"/>
              </w:rPr>
              <w:t xml:space="preserve"> Outturn</w:t>
            </w:r>
          </w:p>
          <w:p w:rsidR="000A0596" w:rsidRPr="00F409B4" w:rsidRDefault="000A0596" w:rsidP="00BB4E1B">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£m</w:t>
            </w:r>
          </w:p>
        </w:tc>
        <w:tc>
          <w:tcPr>
            <w:tcW w:w="2616" w:type="dxa"/>
            <w:shd w:val="clear" w:color="auto" w:fill="E7E6E6"/>
          </w:tcPr>
          <w:p w:rsidR="000A0596" w:rsidRPr="00F409B4" w:rsidRDefault="000A0596" w:rsidP="00BB4E1B">
            <w:pPr>
              <w:spacing w:after="0" w:line="240" w:lineRule="auto"/>
              <w:rPr>
                <w:rFonts w:eastAsia="Times New Roman" w:cs="Arial"/>
                <w:kern w:val="0"/>
                <w14:ligatures w14:val="none"/>
              </w:rPr>
            </w:pPr>
            <w:r>
              <w:rPr>
                <w:rFonts w:eastAsia="Times New Roman" w:cs="Arial"/>
                <w:kern w:val="0"/>
                <w14:ligatures w14:val="none"/>
              </w:rPr>
              <w:t xml:space="preserve">  </w:t>
            </w:r>
            <w:r w:rsidRPr="00F409B4">
              <w:rPr>
                <w:rFonts w:eastAsia="Times New Roman" w:cs="Arial"/>
                <w:kern w:val="0"/>
                <w14:ligatures w14:val="none"/>
              </w:rPr>
              <w:t>Over/ (Underspends)</w:t>
            </w:r>
          </w:p>
          <w:p w:rsidR="000A0596" w:rsidRPr="00F409B4" w:rsidRDefault="000A0596" w:rsidP="00BB4E1B">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£m</w:t>
            </w:r>
          </w:p>
        </w:tc>
      </w:tr>
      <w:tr w:rsidR="000A0596" w:rsidRPr="00F409B4" w:rsidTr="00BB4E1B">
        <w:trPr>
          <w:trHeight w:val="254"/>
        </w:trPr>
        <w:tc>
          <w:tcPr>
            <w:tcW w:w="3322" w:type="dxa"/>
            <w:shd w:val="clear" w:color="auto" w:fill="auto"/>
          </w:tcPr>
          <w:p w:rsidR="000A0596" w:rsidRPr="00F409B4" w:rsidRDefault="000A0596" w:rsidP="00BB4E1B">
            <w:pPr>
              <w:spacing w:after="0" w:line="240" w:lineRule="auto"/>
              <w:ind w:left="720" w:hanging="720"/>
              <w:rPr>
                <w:rFonts w:eastAsia="Times New Roman" w:cs="Arial"/>
                <w:b/>
                <w:kern w:val="0"/>
                <w14:ligatures w14:val="none"/>
              </w:rPr>
            </w:pPr>
            <w:r>
              <w:rPr>
                <w:rFonts w:eastAsia="Times New Roman" w:cs="Arial"/>
                <w:b/>
                <w:kern w:val="0"/>
                <w14:ligatures w14:val="none"/>
              </w:rPr>
              <w:t>Schools Block Amounts</w:t>
            </w:r>
          </w:p>
        </w:tc>
        <w:tc>
          <w:tcPr>
            <w:tcW w:w="1276" w:type="dxa"/>
            <w:shd w:val="clear" w:color="auto" w:fill="auto"/>
          </w:tcPr>
          <w:p w:rsidR="000A0596" w:rsidRPr="00F409B4" w:rsidRDefault="000A0596" w:rsidP="00BB4E1B">
            <w:pPr>
              <w:spacing w:after="0" w:line="240" w:lineRule="auto"/>
              <w:ind w:left="720" w:hanging="720"/>
              <w:jc w:val="right"/>
              <w:rPr>
                <w:rFonts w:eastAsia="Times New Roman" w:cs="Arial"/>
                <w:kern w:val="0"/>
                <w14:ligatures w14:val="none"/>
              </w:rPr>
            </w:pPr>
          </w:p>
        </w:tc>
        <w:tc>
          <w:tcPr>
            <w:tcW w:w="2126" w:type="dxa"/>
          </w:tcPr>
          <w:p w:rsidR="000A0596" w:rsidRPr="00F409B4" w:rsidRDefault="000A0596" w:rsidP="00BB4E1B">
            <w:pPr>
              <w:spacing w:after="0" w:line="240" w:lineRule="auto"/>
              <w:ind w:left="720" w:hanging="720"/>
              <w:jc w:val="right"/>
              <w:rPr>
                <w:rFonts w:eastAsia="Times New Roman" w:cs="Arial"/>
                <w:kern w:val="0"/>
                <w14:ligatures w14:val="none"/>
              </w:rPr>
            </w:pPr>
          </w:p>
        </w:tc>
        <w:tc>
          <w:tcPr>
            <w:tcW w:w="2616" w:type="dxa"/>
            <w:shd w:val="clear" w:color="auto" w:fill="auto"/>
          </w:tcPr>
          <w:p w:rsidR="000A0596" w:rsidRPr="00F409B4" w:rsidRDefault="000A0596" w:rsidP="00BB4E1B">
            <w:pPr>
              <w:spacing w:after="0" w:line="240" w:lineRule="auto"/>
              <w:ind w:left="720" w:hanging="720"/>
              <w:jc w:val="right"/>
              <w:rPr>
                <w:rFonts w:eastAsia="Times New Roman" w:cs="Arial"/>
                <w:kern w:val="0"/>
                <w14:ligatures w14:val="none"/>
              </w:rPr>
            </w:pPr>
          </w:p>
        </w:tc>
      </w:tr>
      <w:tr w:rsidR="000A0596" w:rsidRPr="00F409B4" w:rsidTr="00BB4E1B">
        <w:trPr>
          <w:trHeight w:val="244"/>
        </w:trPr>
        <w:tc>
          <w:tcPr>
            <w:tcW w:w="3322" w:type="dxa"/>
            <w:shd w:val="clear" w:color="auto" w:fill="auto"/>
          </w:tcPr>
          <w:p w:rsidR="000A0596" w:rsidRPr="00F409B4" w:rsidRDefault="000A0596" w:rsidP="00BB4E1B">
            <w:pPr>
              <w:spacing w:after="0" w:line="240" w:lineRule="auto"/>
              <w:rPr>
                <w:rFonts w:eastAsia="Times New Roman" w:cs="Arial"/>
                <w:kern w:val="0"/>
                <w14:ligatures w14:val="none"/>
              </w:rPr>
            </w:pPr>
            <w:r>
              <w:rPr>
                <w:rFonts w:eastAsia="Times New Roman" w:cs="Arial"/>
                <w:kern w:val="0"/>
                <w14:ligatures w14:val="none"/>
              </w:rPr>
              <w:t>Growth Funds*</w:t>
            </w:r>
          </w:p>
        </w:tc>
        <w:tc>
          <w:tcPr>
            <w:tcW w:w="1276" w:type="dxa"/>
            <w:shd w:val="clear" w:color="auto" w:fill="auto"/>
          </w:tcPr>
          <w:p w:rsidR="000A0596" w:rsidRPr="00F409B4" w:rsidRDefault="000A0596" w:rsidP="00BB4E1B">
            <w:pPr>
              <w:spacing w:after="0" w:line="240" w:lineRule="auto"/>
              <w:ind w:left="720" w:hanging="720"/>
              <w:jc w:val="right"/>
              <w:rPr>
                <w:rFonts w:eastAsia="Times New Roman" w:cs="Arial"/>
                <w:kern w:val="0"/>
                <w14:ligatures w14:val="none"/>
              </w:rPr>
            </w:pPr>
            <w:r>
              <w:rPr>
                <w:rFonts w:eastAsia="Times New Roman" w:cs="Arial"/>
                <w:kern w:val="0"/>
                <w14:ligatures w14:val="none"/>
              </w:rPr>
              <w:t>0.1</w:t>
            </w:r>
          </w:p>
        </w:tc>
        <w:tc>
          <w:tcPr>
            <w:tcW w:w="2126" w:type="dxa"/>
          </w:tcPr>
          <w:p w:rsidR="000A0596" w:rsidRPr="00F409B4" w:rsidRDefault="000A0596" w:rsidP="00BB4E1B">
            <w:pPr>
              <w:spacing w:after="0" w:line="240" w:lineRule="auto"/>
              <w:ind w:left="720" w:hanging="720"/>
              <w:jc w:val="right"/>
              <w:rPr>
                <w:rFonts w:eastAsia="Times New Roman" w:cs="Arial"/>
                <w:kern w:val="0"/>
                <w14:ligatures w14:val="none"/>
              </w:rPr>
            </w:pPr>
            <w:r>
              <w:rPr>
                <w:rFonts w:eastAsia="Times New Roman" w:cs="Arial"/>
                <w:kern w:val="0"/>
                <w14:ligatures w14:val="none"/>
              </w:rPr>
              <w:t>0.1</w:t>
            </w:r>
          </w:p>
        </w:tc>
        <w:tc>
          <w:tcPr>
            <w:tcW w:w="2616" w:type="dxa"/>
            <w:shd w:val="clear" w:color="auto" w:fill="auto"/>
          </w:tcPr>
          <w:p w:rsidR="000A0596" w:rsidRPr="00F409B4" w:rsidRDefault="000A0596" w:rsidP="00BB4E1B">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w:t>
            </w:r>
          </w:p>
        </w:tc>
      </w:tr>
      <w:tr w:rsidR="000A0596" w:rsidRPr="00F409B4" w:rsidTr="00BB4E1B">
        <w:trPr>
          <w:trHeight w:val="248"/>
        </w:trPr>
        <w:tc>
          <w:tcPr>
            <w:tcW w:w="3322" w:type="dxa"/>
            <w:shd w:val="clear" w:color="auto" w:fill="auto"/>
          </w:tcPr>
          <w:p w:rsidR="000A0596" w:rsidRPr="00F409B4" w:rsidRDefault="000A0596" w:rsidP="00BB4E1B">
            <w:pPr>
              <w:spacing w:after="0" w:line="240" w:lineRule="auto"/>
              <w:ind w:left="720" w:hanging="720"/>
              <w:rPr>
                <w:rFonts w:eastAsia="Times New Roman" w:cs="Arial"/>
                <w:kern w:val="0"/>
                <w14:ligatures w14:val="none"/>
              </w:rPr>
            </w:pPr>
            <w:r>
              <w:rPr>
                <w:rFonts w:eastAsia="Times New Roman" w:cs="Arial"/>
                <w:kern w:val="0"/>
                <w14:ligatures w14:val="none"/>
              </w:rPr>
              <w:t>Falling Rolls*</w:t>
            </w:r>
          </w:p>
        </w:tc>
        <w:tc>
          <w:tcPr>
            <w:tcW w:w="1276" w:type="dxa"/>
            <w:shd w:val="clear" w:color="auto" w:fill="auto"/>
          </w:tcPr>
          <w:p w:rsidR="000A0596" w:rsidRPr="00F409B4" w:rsidRDefault="000A0596" w:rsidP="00BB4E1B">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w:t>
            </w:r>
            <w:r>
              <w:rPr>
                <w:rFonts w:eastAsia="Times New Roman" w:cs="Arial"/>
                <w:kern w:val="0"/>
                <w14:ligatures w14:val="none"/>
              </w:rPr>
              <w:t>3</w:t>
            </w:r>
          </w:p>
        </w:tc>
        <w:tc>
          <w:tcPr>
            <w:tcW w:w="2126" w:type="dxa"/>
          </w:tcPr>
          <w:p w:rsidR="000A0596" w:rsidRPr="00F409B4" w:rsidRDefault="000A0596" w:rsidP="00BB4E1B">
            <w:pPr>
              <w:spacing w:after="0" w:line="240" w:lineRule="auto"/>
              <w:ind w:left="720" w:hanging="720"/>
              <w:jc w:val="right"/>
              <w:rPr>
                <w:rFonts w:eastAsia="Times New Roman" w:cs="Arial"/>
                <w:kern w:val="0"/>
                <w14:ligatures w14:val="none"/>
              </w:rPr>
            </w:pPr>
            <w:r w:rsidRPr="00F409B4">
              <w:rPr>
                <w:rFonts w:eastAsia="Times New Roman" w:cs="Arial"/>
                <w:kern w:val="0"/>
                <w14:ligatures w14:val="none"/>
              </w:rPr>
              <w:t>0.3</w:t>
            </w:r>
          </w:p>
        </w:tc>
        <w:tc>
          <w:tcPr>
            <w:tcW w:w="2616" w:type="dxa"/>
            <w:shd w:val="clear" w:color="auto" w:fill="auto"/>
          </w:tcPr>
          <w:p w:rsidR="000A0596" w:rsidRPr="00F409B4" w:rsidRDefault="000A0596" w:rsidP="00BB4E1B">
            <w:pPr>
              <w:spacing w:after="0" w:line="240" w:lineRule="auto"/>
              <w:ind w:left="720" w:hanging="720"/>
              <w:jc w:val="right"/>
              <w:rPr>
                <w:rFonts w:eastAsia="Times New Roman" w:cs="Arial"/>
                <w:kern w:val="0"/>
                <w14:ligatures w14:val="none"/>
              </w:rPr>
            </w:pPr>
            <w:r>
              <w:rPr>
                <w:rFonts w:eastAsia="Times New Roman" w:cs="Arial"/>
                <w:kern w:val="0"/>
                <w14:ligatures w14:val="none"/>
              </w:rPr>
              <w:t>0</w:t>
            </w:r>
          </w:p>
        </w:tc>
      </w:tr>
    </w:tbl>
    <w:p w:rsidR="000A0596" w:rsidRPr="000A0596" w:rsidRDefault="000A0596" w:rsidP="005B4092">
      <w:pPr>
        <w:spacing w:after="120"/>
        <w:ind w:left="567"/>
        <w:jc w:val="center"/>
        <w:rPr>
          <w:sz w:val="20"/>
          <w:szCs w:val="20"/>
        </w:rPr>
      </w:pPr>
      <w:r w:rsidRPr="000A0596">
        <w:rPr>
          <w:sz w:val="20"/>
          <w:szCs w:val="20"/>
        </w:rPr>
        <w:t>*these budgets have been forecast as fully spend as it assumed that any unspent funds will be rolled forward into next year.</w:t>
      </w:r>
    </w:p>
    <w:p w:rsidR="000A0596" w:rsidRDefault="000A0596" w:rsidP="005B4092">
      <w:pPr>
        <w:spacing w:after="0"/>
        <w:ind w:left="567"/>
        <w:jc w:val="both"/>
      </w:pPr>
      <w:r w:rsidRPr="000A0596">
        <w:t>Although the current forecast for the Maternity scheme looks to be an underspend, there may still be further claims made before year end and so this figure may increase before final outturn.</w:t>
      </w:r>
    </w:p>
    <w:p w:rsidR="000A0596" w:rsidRPr="00F409B4" w:rsidRDefault="000A0596" w:rsidP="005B4092">
      <w:pPr>
        <w:ind w:left="567"/>
      </w:pPr>
      <w:r w:rsidRPr="000A0596">
        <w:t>The position on the other elements are anticipated to be to budget, with any underspends being rolled into the next financial year to support future costs.</w:t>
      </w:r>
      <w:bookmarkStart w:id="0" w:name="_GoBack"/>
      <w:bookmarkEnd w:id="0"/>
    </w:p>
    <w:sectPr w:rsidR="000A0596" w:rsidRPr="00F409B4" w:rsidSect="00D12070">
      <w:headerReference w:type="default" r:id="rId9"/>
      <w:footerReference w:type="default" r:id="rId10"/>
      <w:headerReference w:type="first" r:id="rId11"/>
      <w:footerReference w:type="first" r:id="rId12"/>
      <w:type w:val="continuous"/>
      <w:pgSz w:w="11901" w:h="16817"/>
      <w:pgMar w:top="680" w:right="680" w:bottom="1701" w:left="680"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04" w:rsidRDefault="00905604" w:rsidP="00E24FD3">
      <w:pPr>
        <w:spacing w:after="0"/>
      </w:pPr>
      <w:r>
        <w:separator/>
      </w:r>
    </w:p>
  </w:endnote>
  <w:endnote w:type="continuationSeparator" w:id="0">
    <w:p w:rsidR="00905604" w:rsidRDefault="00905604" w:rsidP="00E24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6984899"/>
      <w:docPartObj>
        <w:docPartGallery w:val="Page Numbers (Bottom of Page)"/>
        <w:docPartUnique/>
      </w:docPartObj>
    </w:sdtPr>
    <w:sdtEndPr>
      <w:rPr>
        <w:rStyle w:val="DefaultParagraphFont"/>
      </w:rPr>
    </w:sdtEndPr>
    <w:sdtContent>
      <w:p w:rsidR="00E24FD3" w:rsidRDefault="00E24FD3" w:rsidP="002F4B82">
        <w:pPr>
          <w:pStyle w:val="Footer"/>
          <w:framePr w:wrap="none" w:vAnchor="text" w:hAnchor="page" w:x="10861" w:y="180"/>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5B4092">
          <w:rPr>
            <w:rStyle w:val="PageNumber"/>
            <w:noProof/>
            <w:color w:val="E7E6E6" w:themeColor="background2"/>
          </w:rPr>
          <w:t>2</w:t>
        </w:r>
        <w:r w:rsidRPr="00F32EAD">
          <w:rPr>
            <w:rStyle w:val="PageNumber"/>
            <w:color w:val="E7E6E6" w:themeColor="background2"/>
          </w:rPr>
          <w:fldChar w:fldCharType="end"/>
        </w:r>
      </w:p>
    </w:sdtContent>
  </w:sdt>
  <w:p w:rsidR="00E24FD3" w:rsidRDefault="00E24FD3">
    <w:pPr>
      <w:pStyle w:val="Footer"/>
    </w:pPr>
    <w:r>
      <w:rPr>
        <w:noProof/>
        <w:lang w:eastAsia="en-GB"/>
      </w:rPr>
      <w:drawing>
        <wp:anchor distT="0" distB="0" distL="114300" distR="114300" simplePos="0" relativeHeight="251658240" behindDoc="1" locked="1" layoutInCell="1" allowOverlap="1" wp14:anchorId="25B51052" wp14:editId="6D2AB2CC">
          <wp:simplePos x="0" y="0"/>
          <wp:positionH relativeFrom="margin">
            <wp:posOffset>-450850</wp:posOffset>
          </wp:positionH>
          <wp:positionV relativeFrom="page">
            <wp:align>bottom</wp:align>
          </wp:positionV>
          <wp:extent cx="7559675" cy="11410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59675" cy="1141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2817517"/>
      <w:docPartObj>
        <w:docPartGallery w:val="Page Numbers (Bottom of Page)"/>
        <w:docPartUnique/>
      </w:docPartObj>
    </w:sdtPr>
    <w:sdtEndPr>
      <w:rPr>
        <w:rStyle w:val="DefaultParagraphFont"/>
      </w:rPr>
    </w:sdtEndPr>
    <w:sdtContent>
      <w:p w:rsidR="00E24FD3" w:rsidRDefault="00E24FD3" w:rsidP="002F4B82">
        <w:pPr>
          <w:pStyle w:val="Footer"/>
          <w:framePr w:wrap="none" w:vAnchor="text" w:hAnchor="page" w:x="10873" w:y="192"/>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5B4092">
          <w:rPr>
            <w:rStyle w:val="PageNumber"/>
            <w:noProof/>
            <w:color w:val="E7E6E6" w:themeColor="background2"/>
          </w:rPr>
          <w:t>1</w:t>
        </w:r>
        <w:r w:rsidRPr="00F32EAD">
          <w:rPr>
            <w:rStyle w:val="PageNumber"/>
            <w:color w:val="E7E6E6" w:themeColor="background2"/>
          </w:rPr>
          <w:fldChar w:fldCharType="end"/>
        </w:r>
      </w:p>
    </w:sdtContent>
  </w:sdt>
  <w:p w:rsidR="00E24FD3" w:rsidRDefault="00E24FD3" w:rsidP="00E24FD3">
    <w:pPr>
      <w:pStyle w:val="Footer"/>
      <w:ind w:right="360"/>
      <w:jc w:val="center"/>
    </w:pPr>
    <w:r>
      <w:rPr>
        <w:noProof/>
        <w:lang w:eastAsia="en-GB"/>
      </w:rPr>
      <w:drawing>
        <wp:anchor distT="0" distB="0" distL="114300" distR="114300" simplePos="0" relativeHeight="251657216" behindDoc="1" locked="1" layoutInCell="1" allowOverlap="1" wp14:anchorId="0C0F12EB" wp14:editId="6A51A1C8">
          <wp:simplePos x="0" y="0"/>
          <wp:positionH relativeFrom="margin">
            <wp:align>center</wp:align>
          </wp:positionH>
          <wp:positionV relativeFrom="bottomMargin">
            <wp:posOffset>-27305</wp:posOffset>
          </wp:positionV>
          <wp:extent cx="7595870" cy="10902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04" w:rsidRDefault="00905604" w:rsidP="00E24FD3">
      <w:pPr>
        <w:spacing w:after="0"/>
      </w:pPr>
      <w:r>
        <w:separator/>
      </w:r>
    </w:p>
  </w:footnote>
  <w:footnote w:type="continuationSeparator" w:id="0">
    <w:p w:rsidR="00905604" w:rsidRDefault="00905604" w:rsidP="00E24F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5E" w:rsidRDefault="00496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D3" w:rsidRDefault="00E24FD3">
    <w:pPr>
      <w:pStyle w:val="Header"/>
    </w:pPr>
    <w:r>
      <w:rPr>
        <w:noProof/>
        <w:lang w:eastAsia="en-GB"/>
      </w:rPr>
      <w:drawing>
        <wp:anchor distT="0" distB="0" distL="114300" distR="114300" simplePos="0" relativeHeight="251656192" behindDoc="1" locked="0" layoutInCell="1" allowOverlap="1" wp14:anchorId="4BD8524E" wp14:editId="117C9059">
          <wp:simplePos x="0" y="0"/>
          <wp:positionH relativeFrom="page">
            <wp:align>left</wp:align>
          </wp:positionH>
          <wp:positionV relativeFrom="paragraph">
            <wp:posOffset>-431800</wp:posOffset>
          </wp:positionV>
          <wp:extent cx="7560000" cy="2131152"/>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8029" name="Picture 102608029"/>
                  <pic:cNvPicPr/>
                </pic:nvPicPr>
                <pic:blipFill>
                  <a:blip r:embed="rId1">
                    <a:extLst>
                      <a:ext uri="{28A0092B-C50C-407E-A947-70E740481C1C}">
                        <a14:useLocalDpi xmlns:a14="http://schemas.microsoft.com/office/drawing/2010/main" val="0"/>
                      </a:ext>
                    </a:extLst>
                  </a:blip>
                  <a:stretch>
                    <a:fillRect/>
                  </a:stretch>
                </pic:blipFill>
                <pic:spPr>
                  <a:xfrm>
                    <a:off x="0" y="0"/>
                    <a:ext cx="7560000" cy="2131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E09"/>
    <w:multiLevelType w:val="hybridMultilevel"/>
    <w:tmpl w:val="724E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B83"/>
    <w:multiLevelType w:val="hybridMultilevel"/>
    <w:tmpl w:val="55760418"/>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85454"/>
    <w:multiLevelType w:val="hybridMultilevel"/>
    <w:tmpl w:val="67E66DAE"/>
    <w:lvl w:ilvl="0" w:tplc="2586E956">
      <w:start w:val="1"/>
      <w:numFmt w:val="bullet"/>
      <w:pStyle w:val="Bulletstyl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F0722D1"/>
    <w:multiLevelType w:val="hybridMultilevel"/>
    <w:tmpl w:val="D7628B90"/>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10716"/>
    <w:multiLevelType w:val="hybridMultilevel"/>
    <w:tmpl w:val="1E34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8041C"/>
    <w:multiLevelType w:val="hybridMultilevel"/>
    <w:tmpl w:val="A5F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269C"/>
    <w:multiLevelType w:val="hybridMultilevel"/>
    <w:tmpl w:val="0EBA34F8"/>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0494840"/>
    <w:multiLevelType w:val="hybridMultilevel"/>
    <w:tmpl w:val="E9B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F5A1A"/>
    <w:multiLevelType w:val="hybridMultilevel"/>
    <w:tmpl w:val="D25C99A0"/>
    <w:lvl w:ilvl="0" w:tplc="BCF6A16C">
      <w:start w:val="1"/>
      <w:numFmt w:val="decimal"/>
      <w:lvlText w:val="%1."/>
      <w:lvlJc w:val="left"/>
      <w:pPr>
        <w:ind w:left="143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278A4"/>
    <w:multiLevelType w:val="hybridMultilevel"/>
    <w:tmpl w:val="F8569330"/>
    <w:lvl w:ilvl="0" w:tplc="9EE05ED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6C8086A"/>
    <w:multiLevelType w:val="hybridMultilevel"/>
    <w:tmpl w:val="015C8BE0"/>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7604174"/>
    <w:multiLevelType w:val="hybridMultilevel"/>
    <w:tmpl w:val="16984928"/>
    <w:lvl w:ilvl="0" w:tplc="F1086B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8051E"/>
    <w:multiLevelType w:val="hybridMultilevel"/>
    <w:tmpl w:val="43DA64A4"/>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BF503C3"/>
    <w:multiLevelType w:val="hybridMultilevel"/>
    <w:tmpl w:val="F5C4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73C73"/>
    <w:multiLevelType w:val="hybridMultilevel"/>
    <w:tmpl w:val="6C64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E13D8"/>
    <w:multiLevelType w:val="hybridMultilevel"/>
    <w:tmpl w:val="6A548FBA"/>
    <w:lvl w:ilvl="0" w:tplc="1DCC62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7631E"/>
    <w:multiLevelType w:val="hybridMultilevel"/>
    <w:tmpl w:val="83B8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04B50"/>
    <w:multiLevelType w:val="hybridMultilevel"/>
    <w:tmpl w:val="1BF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81F8A"/>
    <w:multiLevelType w:val="hybridMultilevel"/>
    <w:tmpl w:val="086C60A6"/>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91A639D"/>
    <w:multiLevelType w:val="hybridMultilevel"/>
    <w:tmpl w:val="A54CF7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48978CE"/>
    <w:multiLevelType w:val="hybridMultilevel"/>
    <w:tmpl w:val="355EBC4E"/>
    <w:lvl w:ilvl="0" w:tplc="6E24BF34">
      <w:start w:val="1"/>
      <w:numFmt w:val="decimal"/>
      <w:lvlText w:val="%1."/>
      <w:lvlJc w:val="left"/>
      <w:pPr>
        <w:ind w:left="2868"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21" w15:restartNumberingAfterBreak="0">
    <w:nsid w:val="46560FE4"/>
    <w:multiLevelType w:val="hybridMultilevel"/>
    <w:tmpl w:val="93F2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B6F9B"/>
    <w:multiLevelType w:val="hybridMultilevel"/>
    <w:tmpl w:val="B1F0DE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EB24188"/>
    <w:multiLevelType w:val="hybridMultilevel"/>
    <w:tmpl w:val="D1B6C37A"/>
    <w:lvl w:ilvl="0" w:tplc="BCF6A16C">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4" w15:restartNumberingAfterBreak="0">
    <w:nsid w:val="540F7D88"/>
    <w:multiLevelType w:val="hybridMultilevel"/>
    <w:tmpl w:val="671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42352"/>
    <w:multiLevelType w:val="hybridMultilevel"/>
    <w:tmpl w:val="6F8815CC"/>
    <w:lvl w:ilvl="0" w:tplc="0809000F">
      <w:start w:val="1"/>
      <w:numFmt w:val="decimal"/>
      <w:lvlText w:val="%1."/>
      <w:lvlJc w:val="left"/>
      <w:pPr>
        <w:ind w:left="88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4B3D03"/>
    <w:multiLevelType w:val="hybridMultilevel"/>
    <w:tmpl w:val="6D5E31AA"/>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F2AE0"/>
    <w:multiLevelType w:val="hybridMultilevel"/>
    <w:tmpl w:val="C5A2750C"/>
    <w:lvl w:ilvl="0" w:tplc="AF749F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75519"/>
    <w:multiLevelType w:val="hybridMultilevel"/>
    <w:tmpl w:val="E1AC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03AD5"/>
    <w:multiLevelType w:val="hybridMultilevel"/>
    <w:tmpl w:val="6ED0A1E6"/>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E0C12"/>
    <w:multiLevelType w:val="hybridMultilevel"/>
    <w:tmpl w:val="241A456A"/>
    <w:lvl w:ilvl="0" w:tplc="7CECFA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8E7C95"/>
    <w:multiLevelType w:val="hybridMultilevel"/>
    <w:tmpl w:val="D368D9A4"/>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75606"/>
    <w:multiLevelType w:val="hybridMultilevel"/>
    <w:tmpl w:val="6ABC1B00"/>
    <w:lvl w:ilvl="0" w:tplc="2B06E3D2">
      <w:start w:val="1"/>
      <w:numFmt w:val="decimal"/>
      <w:pStyle w:val="Heading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A7C43B4"/>
    <w:multiLevelType w:val="hybridMultilevel"/>
    <w:tmpl w:val="E82A309C"/>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13"/>
  </w:num>
  <w:num w:numId="5">
    <w:abstractNumId w:val="25"/>
  </w:num>
  <w:num w:numId="6">
    <w:abstractNumId w:val="30"/>
  </w:num>
  <w:num w:numId="7">
    <w:abstractNumId w:val="23"/>
  </w:num>
  <w:num w:numId="8">
    <w:abstractNumId w:val="8"/>
  </w:num>
  <w:num w:numId="9">
    <w:abstractNumId w:val="20"/>
  </w:num>
  <w:num w:numId="10">
    <w:abstractNumId w:val="7"/>
  </w:num>
  <w:num w:numId="11">
    <w:abstractNumId w:val="27"/>
  </w:num>
  <w:num w:numId="12">
    <w:abstractNumId w:val="28"/>
  </w:num>
  <w:num w:numId="13">
    <w:abstractNumId w:val="26"/>
  </w:num>
  <w:num w:numId="14">
    <w:abstractNumId w:val="33"/>
  </w:num>
  <w:num w:numId="15">
    <w:abstractNumId w:val="24"/>
  </w:num>
  <w:num w:numId="16">
    <w:abstractNumId w:val="3"/>
  </w:num>
  <w:num w:numId="17">
    <w:abstractNumId w:val="16"/>
  </w:num>
  <w:num w:numId="18">
    <w:abstractNumId w:val="21"/>
  </w:num>
  <w:num w:numId="19">
    <w:abstractNumId w:val="29"/>
  </w:num>
  <w:num w:numId="20">
    <w:abstractNumId w:val="0"/>
  </w:num>
  <w:num w:numId="21">
    <w:abstractNumId w:val="31"/>
  </w:num>
  <w:num w:numId="22">
    <w:abstractNumId w:val="10"/>
  </w:num>
  <w:num w:numId="23">
    <w:abstractNumId w:val="1"/>
  </w:num>
  <w:num w:numId="24">
    <w:abstractNumId w:val="6"/>
  </w:num>
  <w:num w:numId="25">
    <w:abstractNumId w:val="14"/>
  </w:num>
  <w:num w:numId="26">
    <w:abstractNumId w:val="22"/>
  </w:num>
  <w:num w:numId="27">
    <w:abstractNumId w:val="18"/>
  </w:num>
  <w:num w:numId="28">
    <w:abstractNumId w:val="4"/>
  </w:num>
  <w:num w:numId="29">
    <w:abstractNumId w:val="12"/>
  </w:num>
  <w:num w:numId="30">
    <w:abstractNumId w:val="5"/>
  </w:num>
  <w:num w:numId="31">
    <w:abstractNumId w:val="15"/>
  </w:num>
  <w:num w:numId="32">
    <w:abstractNumId w:val="11"/>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6/hu9afqlT2F94uwN0XG6tsWg/7cSDkcjoLAbVCALG3atSYi+aKcIGE2Dtruyqz"/>
  </w:docVars>
  <w:rsids>
    <w:rsidRoot w:val="00E24FD3"/>
    <w:rsid w:val="000070B1"/>
    <w:rsid w:val="00022C52"/>
    <w:rsid w:val="00025AF8"/>
    <w:rsid w:val="00035F95"/>
    <w:rsid w:val="000A0596"/>
    <w:rsid w:val="000F48C7"/>
    <w:rsid w:val="001422D9"/>
    <w:rsid w:val="00167704"/>
    <w:rsid w:val="001B1541"/>
    <w:rsid w:val="001C1D89"/>
    <w:rsid w:val="002109C1"/>
    <w:rsid w:val="002146FC"/>
    <w:rsid w:val="00217916"/>
    <w:rsid w:val="002201AA"/>
    <w:rsid w:val="00252E73"/>
    <w:rsid w:val="00266DB7"/>
    <w:rsid w:val="00267EEF"/>
    <w:rsid w:val="00285421"/>
    <w:rsid w:val="0029581B"/>
    <w:rsid w:val="002C075B"/>
    <w:rsid w:val="002C18A1"/>
    <w:rsid w:val="002F4B82"/>
    <w:rsid w:val="00300B46"/>
    <w:rsid w:val="00322422"/>
    <w:rsid w:val="00337ABD"/>
    <w:rsid w:val="00340471"/>
    <w:rsid w:val="003B2A41"/>
    <w:rsid w:val="00426BED"/>
    <w:rsid w:val="004329ED"/>
    <w:rsid w:val="00435AC4"/>
    <w:rsid w:val="0043667A"/>
    <w:rsid w:val="00471B6A"/>
    <w:rsid w:val="0049685E"/>
    <w:rsid w:val="0049688B"/>
    <w:rsid w:val="004D722D"/>
    <w:rsid w:val="004E2EB4"/>
    <w:rsid w:val="004E5FFC"/>
    <w:rsid w:val="00530BA4"/>
    <w:rsid w:val="00557C04"/>
    <w:rsid w:val="005774C6"/>
    <w:rsid w:val="005B0BC0"/>
    <w:rsid w:val="005B4092"/>
    <w:rsid w:val="005C70C9"/>
    <w:rsid w:val="006A687D"/>
    <w:rsid w:val="006C6F53"/>
    <w:rsid w:val="007103F4"/>
    <w:rsid w:val="00740DF2"/>
    <w:rsid w:val="0076625E"/>
    <w:rsid w:val="007A221F"/>
    <w:rsid w:val="007A674D"/>
    <w:rsid w:val="008054E1"/>
    <w:rsid w:val="008224EF"/>
    <w:rsid w:val="00834E4F"/>
    <w:rsid w:val="00841632"/>
    <w:rsid w:val="008425C1"/>
    <w:rsid w:val="008614E8"/>
    <w:rsid w:val="00870B08"/>
    <w:rsid w:val="0088398B"/>
    <w:rsid w:val="008A6547"/>
    <w:rsid w:val="008B5508"/>
    <w:rsid w:val="008B575C"/>
    <w:rsid w:val="008C24E3"/>
    <w:rsid w:val="009035C6"/>
    <w:rsid w:val="00905604"/>
    <w:rsid w:val="00926DC5"/>
    <w:rsid w:val="00943D33"/>
    <w:rsid w:val="009842D8"/>
    <w:rsid w:val="009F12B0"/>
    <w:rsid w:val="00AB554E"/>
    <w:rsid w:val="00B70926"/>
    <w:rsid w:val="00B85681"/>
    <w:rsid w:val="00C172BE"/>
    <w:rsid w:val="00C17374"/>
    <w:rsid w:val="00C34EB0"/>
    <w:rsid w:val="00C4526A"/>
    <w:rsid w:val="00C76F7F"/>
    <w:rsid w:val="00C94776"/>
    <w:rsid w:val="00C94F5A"/>
    <w:rsid w:val="00CB3FDB"/>
    <w:rsid w:val="00CE1713"/>
    <w:rsid w:val="00D12070"/>
    <w:rsid w:val="00D168E9"/>
    <w:rsid w:val="00D66C71"/>
    <w:rsid w:val="00D81720"/>
    <w:rsid w:val="00D957E3"/>
    <w:rsid w:val="00DE40AA"/>
    <w:rsid w:val="00E0387E"/>
    <w:rsid w:val="00E10B7B"/>
    <w:rsid w:val="00E24FD3"/>
    <w:rsid w:val="00E51BDD"/>
    <w:rsid w:val="00E83828"/>
    <w:rsid w:val="00F32EAD"/>
    <w:rsid w:val="00F354CE"/>
    <w:rsid w:val="00F409B4"/>
    <w:rsid w:val="00F7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A165244"/>
  <w15:chartTrackingRefBased/>
  <w15:docId w15:val="{B5E080A0-76CB-F14B-BC12-7842E6F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before="2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8054E1"/>
    <w:pPr>
      <w:spacing w:before="0"/>
    </w:pPr>
    <w:rPr>
      <w:rFonts w:ascii="Arial" w:hAnsi="Arial"/>
    </w:rPr>
  </w:style>
  <w:style w:type="paragraph" w:styleId="Heading1">
    <w:name w:val="heading 1"/>
    <w:basedOn w:val="Normal"/>
    <w:next w:val="Normal"/>
    <w:link w:val="Heading1Char"/>
    <w:uiPriority w:val="1"/>
    <w:qFormat/>
    <w:rsid w:val="008B575C"/>
    <w:pPr>
      <w:keepNext/>
      <w:keepLines/>
      <w:outlineLvl w:val="0"/>
    </w:pPr>
    <w:rPr>
      <w:rFonts w:asciiTheme="majorHAnsi" w:eastAsiaTheme="majorEastAsia" w:hAnsiTheme="majorHAnsi" w:cstheme="majorBidi"/>
      <w:color w:val="44276E"/>
      <w:sz w:val="72"/>
      <w:szCs w:val="32"/>
    </w:rPr>
  </w:style>
  <w:style w:type="paragraph" w:styleId="Heading2">
    <w:name w:val="heading 2"/>
    <w:basedOn w:val="Normal"/>
    <w:next w:val="Normal"/>
    <w:link w:val="Heading2Char1"/>
    <w:autoRedefine/>
    <w:uiPriority w:val="1"/>
    <w:unhideWhenUsed/>
    <w:qFormat/>
    <w:rsid w:val="005B4092"/>
    <w:pPr>
      <w:numPr>
        <w:numId w:val="33"/>
      </w:numPr>
      <w:spacing w:before="240" w:after="120"/>
      <w:ind w:left="567" w:hanging="567"/>
      <w:outlineLvl w:val="1"/>
    </w:pPr>
    <w:rPr>
      <w:rFonts w:eastAsiaTheme="majorEastAsia" w:cs="Arial"/>
      <w:sz w:val="48"/>
      <w:szCs w:val="26"/>
    </w:rPr>
  </w:style>
  <w:style w:type="paragraph" w:styleId="Heading3">
    <w:name w:val="heading 3"/>
    <w:basedOn w:val="Normal"/>
    <w:next w:val="Normal"/>
    <w:link w:val="Heading3Char"/>
    <w:autoRedefine/>
    <w:uiPriority w:val="1"/>
    <w:unhideWhenUsed/>
    <w:qFormat/>
    <w:rsid w:val="00870B08"/>
    <w:pPr>
      <w:keepNext/>
      <w:keepLines/>
      <w:outlineLvl w:val="2"/>
    </w:pPr>
    <w:rPr>
      <w:rFonts w:eastAsiaTheme="majorEastAsia" w:cstheme="majorBidi"/>
      <w:b/>
      <w:sz w:val="48"/>
    </w:rPr>
  </w:style>
  <w:style w:type="paragraph" w:styleId="Heading4">
    <w:name w:val="heading 4"/>
    <w:basedOn w:val="BasicParagraph"/>
    <w:next w:val="Normal"/>
    <w:link w:val="Heading4Char"/>
    <w:uiPriority w:val="9"/>
    <w:unhideWhenUsed/>
    <w:qFormat/>
    <w:rsid w:val="002146FC"/>
    <w:pPr>
      <w:suppressAutoHyphens/>
      <w:outlineLvl w:val="3"/>
    </w:pPr>
    <w:rPr>
      <w:rFonts w:ascii="Arial" w:hAnsi="Arial" w:cs="Arial"/>
      <w:b/>
      <w:bCs/>
      <w:szCs w:val="20"/>
    </w:rPr>
  </w:style>
  <w:style w:type="paragraph" w:styleId="Heading5">
    <w:name w:val="heading 5"/>
    <w:basedOn w:val="Normal"/>
    <w:next w:val="Normal"/>
    <w:link w:val="Heading5Char"/>
    <w:uiPriority w:val="9"/>
    <w:unhideWhenUsed/>
    <w:qFormat/>
    <w:rsid w:val="0076625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575C"/>
    <w:rPr>
      <w:rFonts w:asciiTheme="majorHAnsi" w:eastAsiaTheme="majorEastAsia" w:hAnsiTheme="majorHAnsi" w:cstheme="majorBidi"/>
      <w:color w:val="44276E"/>
      <w:sz w:val="72"/>
      <w:szCs w:val="32"/>
    </w:rPr>
  </w:style>
  <w:style w:type="character" w:customStyle="1" w:styleId="Heading2Char">
    <w:name w:val="Heading 2 Char"/>
    <w:basedOn w:val="DefaultParagraphFont"/>
    <w:uiPriority w:val="1"/>
    <w:rsid w:val="006A687D"/>
    <w:rPr>
      <w:rFonts w:ascii="Arial" w:eastAsiaTheme="majorEastAsia" w:hAnsi="Arial" w:cs="Arial"/>
      <w:color w:val="44546A" w:themeColor="text2"/>
      <w:sz w:val="48"/>
      <w:szCs w:val="26"/>
    </w:rPr>
  </w:style>
  <w:style w:type="character" w:customStyle="1" w:styleId="Heading3Char">
    <w:name w:val="Heading 3 Char"/>
    <w:basedOn w:val="DefaultParagraphFont"/>
    <w:link w:val="Heading3"/>
    <w:uiPriority w:val="1"/>
    <w:rsid w:val="00870B08"/>
    <w:rPr>
      <w:rFonts w:ascii="Arial" w:eastAsiaTheme="majorEastAsia" w:hAnsi="Arial" w:cstheme="majorBidi"/>
      <w:b/>
      <w:sz w:val="48"/>
    </w:rPr>
  </w:style>
  <w:style w:type="paragraph" w:styleId="Header">
    <w:name w:val="header"/>
    <w:basedOn w:val="Normal"/>
    <w:link w:val="HeaderChar"/>
    <w:uiPriority w:val="99"/>
    <w:unhideWhenUsed/>
    <w:rsid w:val="00E24FD3"/>
    <w:pPr>
      <w:tabs>
        <w:tab w:val="center" w:pos="4513"/>
        <w:tab w:val="right" w:pos="9026"/>
      </w:tabs>
    </w:pPr>
  </w:style>
  <w:style w:type="character" w:customStyle="1" w:styleId="HeaderChar">
    <w:name w:val="Header Char"/>
    <w:basedOn w:val="DefaultParagraphFont"/>
    <w:link w:val="Header"/>
    <w:uiPriority w:val="99"/>
    <w:rsid w:val="00E24FD3"/>
  </w:style>
  <w:style w:type="paragraph" w:styleId="Footer">
    <w:name w:val="footer"/>
    <w:basedOn w:val="Normal"/>
    <w:link w:val="FooterChar"/>
    <w:uiPriority w:val="99"/>
    <w:unhideWhenUsed/>
    <w:rsid w:val="00E24FD3"/>
    <w:pPr>
      <w:tabs>
        <w:tab w:val="center" w:pos="4513"/>
        <w:tab w:val="right" w:pos="9026"/>
      </w:tabs>
    </w:pPr>
    <w:rPr>
      <w:color w:val="FFFFFF" w:themeColor="background1"/>
      <w:sz w:val="18"/>
    </w:rPr>
  </w:style>
  <w:style w:type="character" w:customStyle="1" w:styleId="FooterChar">
    <w:name w:val="Footer Char"/>
    <w:basedOn w:val="DefaultParagraphFont"/>
    <w:link w:val="Footer"/>
    <w:uiPriority w:val="99"/>
    <w:rsid w:val="00E24FD3"/>
    <w:rPr>
      <w:color w:val="FFFFFF" w:themeColor="background1"/>
      <w:sz w:val="18"/>
    </w:rPr>
  </w:style>
  <w:style w:type="character" w:styleId="PageNumber">
    <w:name w:val="page number"/>
    <w:basedOn w:val="DefaultParagraphFont"/>
    <w:uiPriority w:val="99"/>
    <w:semiHidden/>
    <w:unhideWhenUsed/>
    <w:rsid w:val="00E24FD3"/>
  </w:style>
  <w:style w:type="paragraph" w:customStyle="1" w:styleId="BasicParagraph">
    <w:name w:val="[Basic Paragraph]"/>
    <w:basedOn w:val="Normal"/>
    <w:link w:val="BasicParagraphChar"/>
    <w:uiPriority w:val="99"/>
    <w:rsid w:val="00C172BE"/>
    <w:pPr>
      <w:autoSpaceDE w:val="0"/>
      <w:autoSpaceDN w:val="0"/>
      <w:adjustRightInd w:val="0"/>
      <w:textAlignment w:val="center"/>
    </w:pPr>
    <w:rPr>
      <w:rFonts w:ascii="Minion Pro" w:hAnsi="Minion Pro" w:cs="Minion Pro"/>
      <w:color w:val="000000"/>
      <w:kern w:val="0"/>
    </w:rPr>
  </w:style>
  <w:style w:type="character" w:styleId="Hyperlink">
    <w:name w:val="Hyperlink"/>
    <w:basedOn w:val="DefaultParagraphFont"/>
    <w:uiPriority w:val="99"/>
    <w:qFormat/>
    <w:rsid w:val="0076625E"/>
    <w:rPr>
      <w:rFonts w:asciiTheme="minorHAnsi" w:hAnsiTheme="minorHAnsi"/>
      <w:color w:val="002060"/>
      <w:u w:val="single"/>
    </w:rPr>
  </w:style>
  <w:style w:type="paragraph" w:styleId="ListParagraph">
    <w:name w:val="List Paragraph"/>
    <w:basedOn w:val="Normal"/>
    <w:uiPriority w:val="34"/>
    <w:qFormat/>
    <w:rsid w:val="00C172BE"/>
    <w:pPr>
      <w:spacing w:line="300" w:lineRule="atLeast"/>
      <w:contextualSpacing/>
    </w:pPr>
  </w:style>
  <w:style w:type="character" w:customStyle="1" w:styleId="UnresolvedMention">
    <w:name w:val="Unresolved Mention"/>
    <w:basedOn w:val="DefaultParagraphFont"/>
    <w:uiPriority w:val="99"/>
    <w:semiHidden/>
    <w:unhideWhenUsed/>
    <w:rsid w:val="00C172BE"/>
    <w:rPr>
      <w:color w:val="605E5C"/>
      <w:shd w:val="clear" w:color="auto" w:fill="E1DFDD"/>
    </w:rPr>
  </w:style>
  <w:style w:type="paragraph" w:customStyle="1" w:styleId="Bulletstyle">
    <w:name w:val="Bullet style"/>
    <w:basedOn w:val="BasicParagraph"/>
    <w:link w:val="BulletstyleChar"/>
    <w:uiPriority w:val="4"/>
    <w:qFormat/>
    <w:rsid w:val="00300B46"/>
    <w:pPr>
      <w:numPr>
        <w:numId w:val="2"/>
      </w:numPr>
      <w:suppressAutoHyphens/>
      <w:spacing w:before="240" w:line="240" w:lineRule="auto"/>
      <w:ind w:hanging="357"/>
    </w:pPr>
    <w:rPr>
      <w:rFonts w:ascii="Arial" w:hAnsi="Arial" w:cs="Arial"/>
    </w:rPr>
  </w:style>
  <w:style w:type="paragraph" w:styleId="NoSpacing">
    <w:name w:val="No Spacing"/>
    <w:uiPriority w:val="4"/>
    <w:unhideWhenUsed/>
    <w:rsid w:val="001C1D89"/>
    <w:pPr>
      <w:spacing w:before="0" w:after="0" w:line="240" w:lineRule="auto"/>
    </w:pPr>
  </w:style>
  <w:style w:type="character" w:customStyle="1" w:styleId="BasicParagraphChar">
    <w:name w:val="[Basic Paragraph] Char"/>
    <w:basedOn w:val="DefaultParagraphFont"/>
    <w:link w:val="BasicParagraph"/>
    <w:uiPriority w:val="99"/>
    <w:rsid w:val="00DE40AA"/>
    <w:rPr>
      <w:rFonts w:ascii="Minion Pro" w:hAnsi="Minion Pro" w:cs="Minion Pro"/>
      <w:color w:val="000000"/>
      <w:kern w:val="0"/>
    </w:rPr>
  </w:style>
  <w:style w:type="character" w:customStyle="1" w:styleId="BulletstyleChar">
    <w:name w:val="Bullet style Char"/>
    <w:basedOn w:val="BasicParagraphChar"/>
    <w:link w:val="Bulletstyle"/>
    <w:uiPriority w:val="4"/>
    <w:rsid w:val="00300B46"/>
    <w:rPr>
      <w:rFonts w:ascii="Arial" w:hAnsi="Arial" w:cs="Arial"/>
      <w:color w:val="000000"/>
      <w:kern w:val="0"/>
    </w:rPr>
  </w:style>
  <w:style w:type="paragraph" w:styleId="BalloonText">
    <w:name w:val="Balloon Text"/>
    <w:basedOn w:val="Normal"/>
    <w:link w:val="BalloonTextChar"/>
    <w:uiPriority w:val="99"/>
    <w:semiHidden/>
    <w:unhideWhenUsed/>
    <w:rsid w:val="00E0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7E"/>
    <w:rPr>
      <w:rFonts w:ascii="Segoe UI" w:hAnsi="Segoe UI" w:cs="Segoe UI"/>
      <w:sz w:val="18"/>
      <w:szCs w:val="18"/>
    </w:rPr>
  </w:style>
  <w:style w:type="character" w:customStyle="1" w:styleId="Heading4Char">
    <w:name w:val="Heading 4 Char"/>
    <w:basedOn w:val="DefaultParagraphFont"/>
    <w:link w:val="Heading4"/>
    <w:uiPriority w:val="9"/>
    <w:rsid w:val="002146FC"/>
    <w:rPr>
      <w:rFonts w:ascii="Arial" w:hAnsi="Arial" w:cs="Arial"/>
      <w:b/>
      <w:bCs/>
      <w:color w:val="000000"/>
      <w:kern w:val="0"/>
      <w:szCs w:val="20"/>
    </w:rPr>
  </w:style>
  <w:style w:type="character" w:customStyle="1" w:styleId="Heading2Char1">
    <w:name w:val="Heading 2 Char1"/>
    <w:basedOn w:val="DefaultParagraphFont"/>
    <w:link w:val="Heading2"/>
    <w:uiPriority w:val="1"/>
    <w:rsid w:val="005B4092"/>
    <w:rPr>
      <w:rFonts w:ascii="Arial" w:eastAsiaTheme="majorEastAsia" w:hAnsi="Arial" w:cs="Arial"/>
      <w:sz w:val="48"/>
      <w:szCs w:val="26"/>
    </w:rPr>
  </w:style>
  <w:style w:type="paragraph" w:styleId="TOCHeading">
    <w:name w:val="TOC Heading"/>
    <w:basedOn w:val="Heading1"/>
    <w:next w:val="Normal"/>
    <w:uiPriority w:val="39"/>
    <w:unhideWhenUsed/>
    <w:qFormat/>
    <w:rsid w:val="0029581B"/>
    <w:pPr>
      <w:spacing w:after="0" w:line="259" w:lineRule="auto"/>
      <w:outlineLvl w:val="9"/>
    </w:pPr>
    <w:rPr>
      <w:color w:val="2E74B5" w:themeColor="accent1" w:themeShade="BF"/>
      <w:kern w:val="0"/>
      <w:sz w:val="32"/>
      <w:lang w:val="en-US"/>
      <w14:ligatures w14:val="none"/>
    </w:rPr>
  </w:style>
  <w:style w:type="paragraph" w:styleId="TOC1">
    <w:name w:val="toc 1"/>
    <w:basedOn w:val="Normal"/>
    <w:next w:val="Normal"/>
    <w:autoRedefine/>
    <w:uiPriority w:val="39"/>
    <w:unhideWhenUsed/>
    <w:rsid w:val="0029581B"/>
    <w:pPr>
      <w:spacing w:after="100"/>
    </w:pPr>
  </w:style>
  <w:style w:type="paragraph" w:styleId="TOC2">
    <w:name w:val="toc 2"/>
    <w:basedOn w:val="Normal"/>
    <w:next w:val="Normal"/>
    <w:autoRedefine/>
    <w:uiPriority w:val="39"/>
    <w:unhideWhenUsed/>
    <w:rsid w:val="0029581B"/>
    <w:pPr>
      <w:spacing w:after="100"/>
      <w:ind w:left="240"/>
    </w:pPr>
  </w:style>
  <w:style w:type="paragraph" w:styleId="TOC3">
    <w:name w:val="toc 3"/>
    <w:basedOn w:val="Normal"/>
    <w:next w:val="Normal"/>
    <w:autoRedefine/>
    <w:uiPriority w:val="39"/>
    <w:unhideWhenUsed/>
    <w:rsid w:val="0029581B"/>
    <w:pPr>
      <w:spacing w:after="100"/>
      <w:ind w:left="480"/>
    </w:pPr>
  </w:style>
  <w:style w:type="character" w:customStyle="1" w:styleId="Heading5Char">
    <w:name w:val="Heading 5 Char"/>
    <w:basedOn w:val="DefaultParagraphFont"/>
    <w:link w:val="Heading5"/>
    <w:uiPriority w:val="9"/>
    <w:rsid w:val="0076625E"/>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D722D"/>
    <w:pPr>
      <w:spacing w:before="0" w:after="0" w:line="240" w:lineRule="auto"/>
    </w:pPr>
    <w:rPr>
      <w:rFonts w:ascii="Arial" w:hAnsi="Arial"/>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n.brown@southwark.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B37E-E763-47F4-A5D2-C565ACC3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4046</Characters>
  <Application>Microsoft Office Word</Application>
  <DocSecurity>0</DocSecurity>
  <Lines>91</Lines>
  <Paragraphs>50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Southwark Council factsheet</vt:lpstr>
      <vt:lpstr>DSG – 2023-24 Budget Monitor and Financial Update</vt:lpstr>
      <vt:lpstr>    Purpose of Report</vt:lpstr>
      <vt:lpstr>    Recommended Actions for School Forum</vt:lpstr>
      <vt:lpstr>    Overall Position</vt:lpstr>
      <vt:lpstr>    High Needs</vt:lpstr>
      <vt:lpstr>    Central Block</vt:lpstr>
      <vt:lpstr>    Early Years Block</vt:lpstr>
      <vt:lpstr>    Financial Position on de-delegated budgets, growth fund and falling rolls fund</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 factsheet</dc:title>
  <dc:subject/>
  <dc:creator>Gray, Karen</dc:creator>
  <cp:keywords/>
  <dc:description/>
  <cp:lastModifiedBy>Gray, Karen</cp:lastModifiedBy>
  <cp:revision>3</cp:revision>
  <cp:lastPrinted>2024-01-02T12:22:00Z</cp:lastPrinted>
  <dcterms:created xsi:type="dcterms:W3CDTF">2024-03-14T12:03:00Z</dcterms:created>
  <dcterms:modified xsi:type="dcterms:W3CDTF">2024-03-15T12:54:00Z</dcterms:modified>
</cp:coreProperties>
</file>