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Caption w:val="Balance Control Mechanism"/>
        <w:tblDescription w:val="This report sets out details of those schools who have exceeded the balance control mechanism capping limit and considers each school individually to come to a decision on whether their excess balance should be removed.  "/>
      </w:tblPr>
      <w:tblGrid>
        <w:gridCol w:w="9781"/>
      </w:tblGrid>
      <w:tr w:rsidR="002411E4" w:rsidTr="002411E4">
        <w:trPr>
          <w:cantSplit/>
          <w:tblHeader/>
        </w:trPr>
        <w:tc>
          <w:tcPr>
            <w:tcW w:w="9781" w:type="dxa"/>
            <w:tcBorders>
              <w:top w:val="single" w:sz="12" w:space="0" w:color="auto"/>
              <w:left w:val="single" w:sz="12" w:space="0" w:color="auto"/>
              <w:bottom w:val="single" w:sz="4" w:space="0" w:color="auto"/>
              <w:right w:val="single" w:sz="12" w:space="0" w:color="auto"/>
            </w:tcBorders>
          </w:tcPr>
          <w:p w:rsidR="002411E4" w:rsidRPr="002411E4" w:rsidRDefault="002411E4" w:rsidP="002411E4">
            <w:pPr>
              <w:rPr>
                <w:rFonts w:ascii="Arial" w:hAnsi="Arial" w:cs="Arial"/>
                <w:b/>
                <w:sz w:val="22"/>
                <w:szCs w:val="22"/>
              </w:rPr>
            </w:pPr>
            <w:r>
              <w:rPr>
                <w:rFonts w:ascii="Arial" w:hAnsi="Arial" w:cs="Arial"/>
                <w:b/>
                <w:sz w:val="22"/>
                <w:szCs w:val="22"/>
              </w:rPr>
              <w:t xml:space="preserve">      </w:t>
            </w:r>
            <w:r w:rsidRPr="002411E4">
              <w:rPr>
                <w:rFonts w:ascii="Arial" w:hAnsi="Arial" w:cs="Arial"/>
                <w:b/>
                <w:sz w:val="22"/>
                <w:szCs w:val="22"/>
              </w:rPr>
              <w:t>Date</w:t>
            </w:r>
            <w:r w:rsidRPr="002411E4">
              <w:rPr>
                <w:rFonts w:ascii="Arial" w:hAnsi="Arial" w:cs="Arial"/>
                <w:sz w:val="22"/>
                <w:szCs w:val="22"/>
              </w:rPr>
              <w:t xml:space="preserve">:  </w:t>
            </w:r>
            <w:r w:rsidRPr="002411E4">
              <w:rPr>
                <w:rFonts w:ascii="Arial" w:hAnsi="Arial" w:cs="Arial"/>
                <w:b/>
                <w:sz w:val="22"/>
                <w:szCs w:val="22"/>
              </w:rPr>
              <w:t>29 September 2022</w:t>
            </w:r>
            <w:r>
              <w:rPr>
                <w:rFonts w:ascii="Arial" w:hAnsi="Arial" w:cs="Arial"/>
                <w:b/>
                <w:sz w:val="22"/>
                <w:szCs w:val="22"/>
              </w:rPr>
              <w:t xml:space="preserve">     </w:t>
            </w:r>
            <w:r w:rsidRPr="002411E4">
              <w:rPr>
                <w:rFonts w:ascii="Arial" w:hAnsi="Arial" w:cs="Arial"/>
                <w:b/>
                <w:snapToGrid w:val="0"/>
                <w:sz w:val="22"/>
                <w:szCs w:val="22"/>
              </w:rPr>
              <w:t xml:space="preserve">Item </w:t>
            </w:r>
            <w:r>
              <w:rPr>
                <w:rFonts w:ascii="Arial" w:hAnsi="Arial" w:cs="Arial"/>
                <w:b/>
                <w:sz w:val="22"/>
                <w:szCs w:val="22"/>
              </w:rPr>
              <w:t xml:space="preserve">  </w:t>
            </w:r>
            <w:r w:rsidRPr="002411E4">
              <w:rPr>
                <w:rFonts w:ascii="Arial" w:hAnsi="Arial" w:cs="Arial"/>
                <w:b/>
                <w:snapToGrid w:val="0"/>
                <w:sz w:val="22"/>
                <w:szCs w:val="22"/>
              </w:rPr>
              <w:t>9</w:t>
            </w:r>
            <w:r>
              <w:rPr>
                <w:rFonts w:ascii="Arial" w:hAnsi="Arial" w:cs="Arial"/>
                <w:b/>
                <w:snapToGrid w:val="0"/>
                <w:sz w:val="22"/>
                <w:szCs w:val="22"/>
              </w:rPr>
              <w:t xml:space="preserve">      </w:t>
            </w:r>
            <w:r w:rsidRPr="002411E4">
              <w:rPr>
                <w:rFonts w:ascii="Arial" w:hAnsi="Arial" w:cs="Arial"/>
                <w:sz w:val="22"/>
                <w:szCs w:val="22"/>
              </w:rPr>
              <w:t xml:space="preserve">Type of report: </w:t>
            </w:r>
            <w:r w:rsidRPr="002411E4">
              <w:rPr>
                <w:rFonts w:ascii="Arial" w:hAnsi="Arial" w:cs="Arial"/>
                <w:b/>
                <w:sz w:val="22"/>
                <w:szCs w:val="22"/>
              </w:rPr>
              <w:t xml:space="preserve"> For Discussion / Decision</w:t>
            </w:r>
          </w:p>
        </w:tc>
      </w:tr>
      <w:tr w:rsidR="002411E4" w:rsidTr="004744B0">
        <w:trPr>
          <w:cantSplit/>
        </w:trPr>
        <w:tc>
          <w:tcPr>
            <w:tcW w:w="9781" w:type="dxa"/>
            <w:tcBorders>
              <w:top w:val="single" w:sz="4" w:space="0" w:color="auto"/>
              <w:left w:val="single" w:sz="12" w:space="0" w:color="auto"/>
              <w:bottom w:val="single" w:sz="4" w:space="0" w:color="auto"/>
              <w:right w:val="single" w:sz="12" w:space="0" w:color="auto"/>
            </w:tcBorders>
          </w:tcPr>
          <w:p w:rsidR="002411E4" w:rsidRPr="002411E4" w:rsidRDefault="002411E4" w:rsidP="002411E4">
            <w:pPr>
              <w:widowControl w:val="0"/>
              <w:ind w:left="360"/>
              <w:jc w:val="both"/>
              <w:rPr>
                <w:rFonts w:ascii="Arial" w:hAnsi="Arial" w:cs="Arial"/>
                <w:b/>
                <w:snapToGrid w:val="0"/>
                <w:sz w:val="22"/>
              </w:rPr>
            </w:pPr>
            <w:r>
              <w:rPr>
                <w:rFonts w:ascii="Arial" w:hAnsi="Arial" w:cs="Arial"/>
                <w:b/>
                <w:snapToGrid w:val="0"/>
                <w:sz w:val="22"/>
              </w:rPr>
              <w:t xml:space="preserve">Report title:       </w:t>
            </w:r>
            <w:r w:rsidRPr="002411E4">
              <w:rPr>
                <w:rFonts w:ascii="Arial" w:hAnsi="Arial" w:cs="Arial"/>
                <w:b/>
                <w:iCs/>
                <w:sz w:val="22"/>
                <w:szCs w:val="22"/>
              </w:rPr>
              <w:t>Balance Control Mechanism</w:t>
            </w:r>
          </w:p>
        </w:tc>
      </w:tr>
      <w:tr w:rsidR="002411E4" w:rsidRPr="003E66DF" w:rsidTr="00A3180E">
        <w:trPr>
          <w:cantSplit/>
        </w:trPr>
        <w:tc>
          <w:tcPr>
            <w:tcW w:w="9781" w:type="dxa"/>
            <w:tcBorders>
              <w:top w:val="single" w:sz="4" w:space="0" w:color="auto"/>
              <w:left w:val="single" w:sz="12" w:space="0" w:color="auto"/>
              <w:bottom w:val="single" w:sz="4" w:space="0" w:color="auto"/>
              <w:right w:val="single" w:sz="12" w:space="0" w:color="auto"/>
            </w:tcBorders>
          </w:tcPr>
          <w:p w:rsidR="002411E4" w:rsidRDefault="002411E4" w:rsidP="00E33486">
            <w:pPr>
              <w:widowControl w:val="0"/>
              <w:ind w:left="360"/>
              <w:rPr>
                <w:rFonts w:ascii="Arial" w:hAnsi="Arial" w:cs="Arial"/>
                <w:b/>
                <w:snapToGrid w:val="0"/>
                <w:sz w:val="22"/>
              </w:rPr>
            </w:pPr>
            <w:r>
              <w:rPr>
                <w:rFonts w:ascii="Arial" w:hAnsi="Arial" w:cs="Arial"/>
                <w:b/>
                <w:snapToGrid w:val="0"/>
                <w:sz w:val="22"/>
              </w:rPr>
              <w:t xml:space="preserve">Author name               </w:t>
            </w:r>
            <w:r w:rsidRPr="002411E4">
              <w:rPr>
                <w:rFonts w:ascii="Arial" w:hAnsi="Arial" w:cs="Arial"/>
                <w:b/>
                <w:snapToGrid w:val="0"/>
                <w:sz w:val="22"/>
              </w:rPr>
              <w:t>Dave Richards</w:t>
            </w:r>
            <w:r>
              <w:rPr>
                <w:rFonts w:ascii="Arial" w:hAnsi="Arial" w:cs="Arial"/>
                <w:b/>
                <w:snapToGrid w:val="0"/>
                <w:sz w:val="22"/>
              </w:rPr>
              <w:t xml:space="preserve">   </w:t>
            </w:r>
            <w:r>
              <w:rPr>
                <w:rFonts w:ascii="Arial" w:hAnsi="Arial" w:cs="Arial"/>
                <w:b/>
                <w:snapToGrid w:val="0"/>
                <w:sz w:val="22"/>
              </w:rPr>
              <w:br/>
              <w:t xml:space="preserve">and contact details:   </w:t>
            </w:r>
            <w:r w:rsidRPr="002411E4">
              <w:rPr>
                <w:rFonts w:ascii="Arial" w:hAnsi="Arial" w:cs="Arial"/>
                <w:b/>
                <w:snapToGrid w:val="0"/>
                <w:sz w:val="22"/>
              </w:rPr>
              <w:t>Dave.Richards@southwark.gov.uk</w:t>
            </w:r>
          </w:p>
          <w:p w:rsidR="002411E4" w:rsidRPr="003E66DF" w:rsidRDefault="002411E4" w:rsidP="002411E4">
            <w:pPr>
              <w:widowControl w:val="0"/>
              <w:ind w:left="360"/>
              <w:jc w:val="both"/>
              <w:rPr>
                <w:rFonts w:ascii="Arial" w:hAnsi="Arial" w:cs="Arial"/>
                <w:snapToGrid w:val="0"/>
                <w:sz w:val="22"/>
                <w:lang w:val="it-IT"/>
              </w:rPr>
            </w:pPr>
          </w:p>
        </w:tc>
      </w:tr>
      <w:tr w:rsidR="002411E4" w:rsidTr="005F381A">
        <w:trPr>
          <w:cantSplit/>
        </w:trPr>
        <w:tc>
          <w:tcPr>
            <w:tcW w:w="9781" w:type="dxa"/>
            <w:tcBorders>
              <w:top w:val="single" w:sz="4" w:space="0" w:color="auto"/>
              <w:left w:val="single" w:sz="12" w:space="0" w:color="auto"/>
              <w:bottom w:val="single" w:sz="12" w:space="0" w:color="auto"/>
              <w:right w:val="single" w:sz="12" w:space="0" w:color="auto"/>
            </w:tcBorders>
          </w:tcPr>
          <w:p w:rsidR="002411E4" w:rsidRDefault="002411E4" w:rsidP="00E33486">
            <w:pPr>
              <w:widowControl w:val="0"/>
              <w:ind w:left="360"/>
              <w:rPr>
                <w:rFonts w:ascii="Arial" w:hAnsi="Arial" w:cs="Arial"/>
                <w:b/>
                <w:snapToGrid w:val="0"/>
                <w:sz w:val="22"/>
              </w:rPr>
            </w:pPr>
            <w:r>
              <w:rPr>
                <w:rFonts w:ascii="Arial" w:hAnsi="Arial" w:cs="Arial"/>
                <w:b/>
                <w:snapToGrid w:val="0"/>
                <w:sz w:val="22"/>
              </w:rPr>
              <w:t xml:space="preserve">Officer to present  the report:   </w:t>
            </w:r>
            <w:r w:rsidRPr="002411E4">
              <w:rPr>
                <w:rFonts w:ascii="Arial" w:hAnsi="Arial" w:cs="Arial"/>
                <w:b/>
                <w:snapToGrid w:val="0"/>
                <w:sz w:val="22"/>
              </w:rPr>
              <w:t>Nina Dohel &amp; Dave Richards</w:t>
            </w:r>
          </w:p>
          <w:p w:rsidR="002411E4" w:rsidRDefault="002411E4" w:rsidP="00510BFB">
            <w:pPr>
              <w:widowControl w:val="0"/>
              <w:ind w:left="360"/>
              <w:jc w:val="both"/>
              <w:rPr>
                <w:rFonts w:ascii="Arial" w:hAnsi="Arial" w:cs="Arial"/>
                <w:snapToGrid w:val="0"/>
                <w:sz w:val="22"/>
              </w:rPr>
            </w:pPr>
          </w:p>
        </w:tc>
      </w:tr>
    </w:tbl>
    <w:p w:rsidR="00A93E89" w:rsidRPr="00015500" w:rsidRDefault="00A93E89" w:rsidP="00015500">
      <w:pPr>
        <w:pStyle w:val="Heading1"/>
        <w:spacing w:after="240"/>
        <w:rPr>
          <w:b/>
        </w:rPr>
      </w:pPr>
      <w:r w:rsidRPr="00015500">
        <w:rPr>
          <w:b/>
        </w:rPr>
        <w:t>Executive Summary</w:t>
      </w:r>
      <w:r w:rsidR="001450A5" w:rsidRPr="00015500">
        <w:rPr>
          <w:b/>
        </w:rPr>
        <w:t xml:space="preserve"> </w:t>
      </w:r>
    </w:p>
    <w:p w:rsidR="00120CF1" w:rsidRPr="00120CF1" w:rsidRDefault="00120CF1" w:rsidP="00015500">
      <w:pPr>
        <w:pStyle w:val="Heading1"/>
      </w:pPr>
      <w:r w:rsidRPr="00120CF1">
        <w:t>This report</w:t>
      </w:r>
      <w:r w:rsidR="005D12E3">
        <w:t xml:space="preserve"> sets out</w:t>
      </w:r>
      <w:r w:rsidR="00DF690E">
        <w:t xml:space="preserve"> details of those schools who have exceeded the balance control </w:t>
      </w:r>
      <w:proofErr w:type="gramStart"/>
      <w:r w:rsidR="00015500">
        <w:t>mechanism capping</w:t>
      </w:r>
      <w:proofErr w:type="gramEnd"/>
      <w:r w:rsidR="00DF690E">
        <w:t xml:space="preserve"> limit and </w:t>
      </w:r>
      <w:r w:rsidR="00414BF5">
        <w:t>considers</w:t>
      </w:r>
      <w:r w:rsidR="00DF690E">
        <w:t xml:space="preserve"> each school individually to come to a decision on whether their excess balance should be removed.  </w:t>
      </w:r>
    </w:p>
    <w:p w:rsidR="00A93E89" w:rsidRPr="00015500" w:rsidRDefault="00A93E89" w:rsidP="00015500">
      <w:pPr>
        <w:pStyle w:val="Heading1"/>
        <w:spacing w:after="240"/>
        <w:rPr>
          <w:b/>
        </w:rPr>
      </w:pPr>
      <w:r w:rsidRPr="00015500">
        <w:rPr>
          <w:b/>
        </w:rPr>
        <w:t>Schools Forum Actions</w:t>
      </w:r>
    </w:p>
    <w:p w:rsidR="007E5B54" w:rsidRDefault="00022933" w:rsidP="00300FDF">
      <w:pPr>
        <w:rPr>
          <w:rFonts w:ascii="Arial" w:hAnsi="Arial" w:cs="Arial"/>
          <w:sz w:val="22"/>
          <w:szCs w:val="22"/>
        </w:rPr>
      </w:pPr>
      <w:r>
        <w:rPr>
          <w:rFonts w:ascii="Arial" w:hAnsi="Arial" w:cs="Arial"/>
          <w:sz w:val="22"/>
          <w:szCs w:val="22"/>
        </w:rPr>
        <w:t>That the Schools Forum</w:t>
      </w:r>
      <w:r w:rsidR="00AE0A4B">
        <w:rPr>
          <w:rFonts w:ascii="Arial" w:hAnsi="Arial" w:cs="Arial"/>
          <w:sz w:val="22"/>
          <w:szCs w:val="22"/>
        </w:rPr>
        <w:t xml:space="preserve"> (Maintained sector members only)</w:t>
      </w:r>
      <w:r>
        <w:rPr>
          <w:rFonts w:ascii="Arial" w:hAnsi="Arial" w:cs="Arial"/>
          <w:sz w:val="22"/>
          <w:szCs w:val="22"/>
        </w:rPr>
        <w:tab/>
      </w:r>
      <w:r w:rsidR="007E5B54" w:rsidRPr="00451CB2">
        <w:rPr>
          <w:rFonts w:ascii="Arial" w:hAnsi="Arial" w:cs="Arial"/>
          <w:sz w:val="22"/>
          <w:szCs w:val="22"/>
        </w:rPr>
        <w:t xml:space="preserve"> </w:t>
      </w:r>
    </w:p>
    <w:p w:rsidR="00022933" w:rsidRDefault="00022933" w:rsidP="007E5B54">
      <w:pPr>
        <w:ind w:left="720" w:hanging="720"/>
        <w:rPr>
          <w:rFonts w:ascii="Arial" w:hAnsi="Arial" w:cs="Arial"/>
          <w:sz w:val="22"/>
          <w:szCs w:val="22"/>
        </w:rPr>
      </w:pPr>
    </w:p>
    <w:p w:rsidR="001500CA" w:rsidRDefault="001500CA" w:rsidP="008A5601">
      <w:pPr>
        <w:ind w:left="710"/>
        <w:jc w:val="both"/>
        <w:rPr>
          <w:rFonts w:ascii="Arial" w:hAnsi="Arial" w:cs="Arial"/>
          <w:sz w:val="22"/>
          <w:szCs w:val="22"/>
        </w:rPr>
      </w:pPr>
      <w:r>
        <w:rPr>
          <w:rFonts w:ascii="Arial" w:hAnsi="Arial" w:cs="Arial"/>
          <w:sz w:val="22"/>
          <w:szCs w:val="22"/>
        </w:rPr>
        <w:t>Support the recommendation</w:t>
      </w:r>
      <w:r w:rsidR="00430A08">
        <w:rPr>
          <w:rFonts w:ascii="Arial" w:hAnsi="Arial" w:cs="Arial"/>
          <w:sz w:val="22"/>
          <w:szCs w:val="22"/>
        </w:rPr>
        <w:t>s</w:t>
      </w:r>
      <w:r>
        <w:rPr>
          <w:rFonts w:ascii="Arial" w:hAnsi="Arial" w:cs="Arial"/>
          <w:sz w:val="22"/>
          <w:szCs w:val="22"/>
        </w:rPr>
        <w:t xml:space="preserve"> for capping the schools as detailed in </w:t>
      </w:r>
      <w:r w:rsidR="00D95752">
        <w:rPr>
          <w:rFonts w:ascii="Arial" w:hAnsi="Arial" w:cs="Arial"/>
          <w:sz w:val="22"/>
          <w:szCs w:val="22"/>
        </w:rPr>
        <w:t xml:space="preserve">para </w:t>
      </w:r>
      <w:r w:rsidR="00AE0A4B">
        <w:rPr>
          <w:rFonts w:ascii="Arial" w:hAnsi="Arial" w:cs="Arial"/>
          <w:sz w:val="22"/>
          <w:szCs w:val="22"/>
        </w:rPr>
        <w:t>4.5</w:t>
      </w:r>
      <w:r w:rsidR="00D95752">
        <w:rPr>
          <w:rFonts w:ascii="Arial" w:hAnsi="Arial" w:cs="Arial"/>
          <w:sz w:val="22"/>
          <w:szCs w:val="22"/>
        </w:rPr>
        <w:t>;</w:t>
      </w:r>
    </w:p>
    <w:p w:rsidR="001500CA" w:rsidRDefault="001500CA" w:rsidP="008A5601">
      <w:pPr>
        <w:ind w:left="1070"/>
        <w:jc w:val="both"/>
        <w:rPr>
          <w:rFonts w:ascii="Arial" w:hAnsi="Arial" w:cs="Arial"/>
          <w:sz w:val="22"/>
          <w:szCs w:val="22"/>
        </w:rPr>
      </w:pPr>
    </w:p>
    <w:p w:rsidR="00C23E81" w:rsidRDefault="00C23E81" w:rsidP="00430A08">
      <w:pPr>
        <w:rPr>
          <w:rFonts w:ascii="Arial" w:hAnsi="Arial" w:cs="Arial"/>
          <w:b/>
          <w:sz w:val="22"/>
          <w:szCs w:val="22"/>
        </w:rPr>
      </w:pPr>
    </w:p>
    <w:p w:rsidR="00261EA3" w:rsidRPr="00015500" w:rsidRDefault="00430A08" w:rsidP="00F64C45">
      <w:pPr>
        <w:pStyle w:val="Heading1"/>
        <w:spacing w:before="0"/>
        <w:rPr>
          <w:b/>
        </w:rPr>
      </w:pPr>
      <w:r w:rsidRPr="00015500">
        <w:rPr>
          <w:b/>
        </w:rPr>
        <w:t xml:space="preserve">1  </w:t>
      </w:r>
      <w:r w:rsidRPr="00015500">
        <w:rPr>
          <w:b/>
        </w:rPr>
        <w:tab/>
      </w:r>
      <w:r w:rsidR="00261EA3" w:rsidRPr="00015500">
        <w:rPr>
          <w:b/>
        </w:rPr>
        <w:t>Balance Control Mechanism</w:t>
      </w:r>
    </w:p>
    <w:p w:rsidR="00261EA3" w:rsidRDefault="00261EA3" w:rsidP="003C6B56">
      <w:pPr>
        <w:rPr>
          <w:rFonts w:ascii="Arial" w:hAnsi="Arial" w:cs="Arial"/>
          <w:b/>
          <w:sz w:val="22"/>
          <w:szCs w:val="22"/>
        </w:rPr>
      </w:pPr>
    </w:p>
    <w:p w:rsidR="00261EA3" w:rsidRPr="00261EA3" w:rsidRDefault="00430A08" w:rsidP="00F64C45">
      <w:pPr>
        <w:pStyle w:val="Heading1"/>
        <w:ind w:left="720" w:hanging="720"/>
      </w:pPr>
      <w:r>
        <w:t>1.1</w:t>
      </w:r>
      <w:r>
        <w:tab/>
      </w:r>
      <w:r w:rsidR="00261EA3" w:rsidRPr="00261EA3">
        <w:t xml:space="preserve">Southwark operates a balance control mechanism on behalf of the Schools Forum. Southwark’s mechanism is focused on those </w:t>
      </w:r>
      <w:proofErr w:type="gramStart"/>
      <w:r w:rsidR="00261EA3" w:rsidRPr="00261EA3">
        <w:t>schools which</w:t>
      </w:r>
      <w:proofErr w:type="gramEnd"/>
      <w:r w:rsidR="00261EA3" w:rsidRPr="00261EA3">
        <w:t xml:space="preserve"> have built up significant excessive balances. </w:t>
      </w:r>
      <w:r>
        <w:t xml:space="preserve">In calculating whether a school has an excess </w:t>
      </w:r>
      <w:r w:rsidR="00261EA3" w:rsidRPr="00261EA3">
        <w:t xml:space="preserve">surplus balance, </w:t>
      </w:r>
      <w:r>
        <w:t xml:space="preserve">the </w:t>
      </w:r>
      <w:r w:rsidR="004D0B65">
        <w:t xml:space="preserve">balance </w:t>
      </w:r>
      <w:proofErr w:type="gramStart"/>
      <w:r w:rsidR="004D0B65">
        <w:t>is taken</w:t>
      </w:r>
      <w:proofErr w:type="gramEnd"/>
      <w:r w:rsidR="004D0B65">
        <w:t xml:space="preserve"> from </w:t>
      </w:r>
      <w:r>
        <w:t>the end of financial year accounts, for this year it is the year end</w:t>
      </w:r>
      <w:r w:rsidR="00D95752">
        <w:t>ing</w:t>
      </w:r>
      <w:r>
        <w:t xml:space="preserve"> 31 March 202</w:t>
      </w:r>
      <w:r w:rsidR="00BA6377">
        <w:t>2</w:t>
      </w:r>
      <w:r w:rsidR="00D95752">
        <w:t>.</w:t>
      </w:r>
    </w:p>
    <w:p w:rsidR="00261EA3" w:rsidRPr="00261EA3" w:rsidRDefault="00261EA3" w:rsidP="00C23E81">
      <w:pPr>
        <w:jc w:val="both"/>
        <w:rPr>
          <w:rFonts w:ascii="Arial" w:hAnsi="Arial" w:cs="Arial"/>
          <w:sz w:val="22"/>
          <w:szCs w:val="22"/>
        </w:rPr>
      </w:pPr>
    </w:p>
    <w:p w:rsidR="00261EA3" w:rsidRPr="00261EA3" w:rsidRDefault="00430A08" w:rsidP="00F64C45">
      <w:pPr>
        <w:pStyle w:val="Heading1"/>
        <w:spacing w:before="0"/>
        <w:ind w:left="720" w:hanging="720"/>
      </w:pPr>
      <w:r>
        <w:t>1.2</w:t>
      </w:r>
      <w:r>
        <w:tab/>
      </w:r>
      <w:r w:rsidR="00261EA3" w:rsidRPr="00261EA3">
        <w:t xml:space="preserve">The calculation </w:t>
      </w:r>
      <w:proofErr w:type="gramStart"/>
      <w:r>
        <w:t xml:space="preserve">is </w:t>
      </w:r>
      <w:r w:rsidR="00261EA3" w:rsidRPr="00261EA3">
        <w:t>based</w:t>
      </w:r>
      <w:proofErr w:type="gramEnd"/>
      <w:r w:rsidR="00261EA3" w:rsidRPr="00261EA3">
        <w:t xml:space="preserve"> on the schools revenue balance (A) and school budget share funding (B). The surplus balance c</w:t>
      </w:r>
      <w:r w:rsidR="000074EA">
        <w:t xml:space="preserve">alculation is, (surplus balance </w:t>
      </w:r>
      <w:r w:rsidR="00261EA3" w:rsidRPr="00261EA3">
        <w:t xml:space="preserve">%) = (A) / (B) x 100. </w:t>
      </w:r>
    </w:p>
    <w:p w:rsidR="00261EA3" w:rsidRPr="00261EA3" w:rsidRDefault="00261EA3" w:rsidP="00C23E81">
      <w:pPr>
        <w:jc w:val="both"/>
        <w:rPr>
          <w:rFonts w:ascii="Arial" w:hAnsi="Arial" w:cs="Arial"/>
          <w:sz w:val="22"/>
          <w:szCs w:val="22"/>
        </w:rPr>
      </w:pPr>
    </w:p>
    <w:p w:rsidR="00D95752" w:rsidRDefault="00430A08" w:rsidP="00F64C45">
      <w:pPr>
        <w:pStyle w:val="Heading1"/>
        <w:spacing w:before="0"/>
        <w:ind w:left="720" w:hanging="720"/>
      </w:pPr>
      <w:r>
        <w:t>1.3</w:t>
      </w:r>
      <w:r>
        <w:tab/>
      </w:r>
      <w:r w:rsidR="00261EA3" w:rsidRPr="00261EA3">
        <w:t xml:space="preserve">For this purpose, the revenue balance (A) </w:t>
      </w:r>
      <w:r>
        <w:t xml:space="preserve">is </w:t>
      </w:r>
      <w:r w:rsidR="00261EA3" w:rsidRPr="00261EA3">
        <w:t xml:space="preserve">the sum of B01 (committed revenue balances) and B02 (uncommitted revenue balances), as defined in the consistent financial reporting framework. The school budget share (B) </w:t>
      </w:r>
      <w:r>
        <w:t>is</w:t>
      </w:r>
      <w:r w:rsidR="00261EA3" w:rsidRPr="00261EA3">
        <w:t xml:space="preserve"> the sum of I01 (fund delegated by the LA), I02 (funding for sixth form students), I03 (SEN funding), I04 (funding for minority), I05 (pupil premium), as defined in the consistent financial reporting framework. </w:t>
      </w:r>
    </w:p>
    <w:p w:rsidR="00261EA3" w:rsidRPr="00F64C45" w:rsidRDefault="00D95752" w:rsidP="00F64C45">
      <w:pPr>
        <w:pStyle w:val="Heading1"/>
        <w:spacing w:before="0"/>
        <w:rPr>
          <w:b/>
        </w:rPr>
      </w:pPr>
      <w:r>
        <w:br w:type="page"/>
      </w:r>
      <w:r w:rsidR="00430A08" w:rsidRPr="00F64C45">
        <w:rPr>
          <w:b/>
        </w:rPr>
        <w:lastRenderedPageBreak/>
        <w:t>2</w:t>
      </w:r>
      <w:r w:rsidR="00430A08" w:rsidRPr="00F64C45">
        <w:rPr>
          <w:b/>
        </w:rPr>
        <w:tab/>
      </w:r>
      <w:r w:rsidR="00261EA3" w:rsidRPr="00F64C45">
        <w:rPr>
          <w:b/>
        </w:rPr>
        <w:t>Reporting on the intended use of surplus balances</w:t>
      </w:r>
    </w:p>
    <w:p w:rsidR="00261EA3" w:rsidRPr="00261EA3" w:rsidRDefault="00261EA3" w:rsidP="00261EA3">
      <w:pPr>
        <w:rPr>
          <w:rFonts w:ascii="Arial" w:hAnsi="Arial" w:cs="Arial"/>
          <w:b/>
          <w:sz w:val="22"/>
          <w:szCs w:val="22"/>
        </w:rPr>
      </w:pPr>
    </w:p>
    <w:p w:rsidR="00261EA3" w:rsidRPr="00261EA3" w:rsidRDefault="00430A08" w:rsidP="00F64C45">
      <w:pPr>
        <w:pStyle w:val="Heading1"/>
        <w:spacing w:before="0"/>
        <w:ind w:left="720" w:hanging="720"/>
      </w:pPr>
      <w:r>
        <w:t>2.1</w:t>
      </w:r>
      <w:r>
        <w:tab/>
      </w:r>
      <w:r w:rsidR="00261EA3" w:rsidRPr="00261EA3">
        <w:t xml:space="preserve">Where the level of surplus balance held by a school exceeds the </w:t>
      </w:r>
      <w:proofErr w:type="gramStart"/>
      <w:r w:rsidR="00261EA3" w:rsidRPr="00261EA3">
        <w:t>balance control mechanism thresholds</w:t>
      </w:r>
      <w:proofErr w:type="gramEnd"/>
      <w:r w:rsidR="00261EA3" w:rsidRPr="00261EA3">
        <w:t xml:space="preserve">, schools </w:t>
      </w:r>
      <w:r>
        <w:t xml:space="preserve">are </w:t>
      </w:r>
      <w:r w:rsidR="00261EA3" w:rsidRPr="00261EA3">
        <w:t xml:space="preserve">required to report on how the school intend to make use of the balances. </w:t>
      </w:r>
    </w:p>
    <w:p w:rsidR="00261EA3" w:rsidRPr="00261EA3" w:rsidRDefault="00261EA3" w:rsidP="00C23E81">
      <w:pPr>
        <w:jc w:val="both"/>
        <w:rPr>
          <w:rFonts w:ascii="Arial" w:hAnsi="Arial" w:cs="Arial"/>
          <w:sz w:val="22"/>
          <w:szCs w:val="22"/>
        </w:rPr>
      </w:pPr>
    </w:p>
    <w:p w:rsidR="00261EA3" w:rsidRPr="00261EA3" w:rsidRDefault="00430A08" w:rsidP="00F64C45">
      <w:pPr>
        <w:pStyle w:val="Heading1"/>
        <w:spacing w:before="0"/>
        <w:ind w:left="720" w:hanging="720"/>
      </w:pPr>
      <w:r>
        <w:t>2.2</w:t>
      </w:r>
      <w:r>
        <w:tab/>
      </w:r>
      <w:r w:rsidR="00261EA3" w:rsidRPr="00261EA3">
        <w:t xml:space="preserve">The </w:t>
      </w:r>
      <w:proofErr w:type="gramStart"/>
      <w:r w:rsidR="00261EA3" w:rsidRPr="00261EA3">
        <w:t>balance control mechanism threshold</w:t>
      </w:r>
      <w:proofErr w:type="gramEnd"/>
      <w:r w:rsidR="00261EA3" w:rsidRPr="00261EA3">
        <w:t xml:space="preserve"> that applies for this purpose is 5% for secondary schools and 8% for nursery, primary and special schools. Hospital Schools are outside the </w:t>
      </w:r>
      <w:r w:rsidR="0040268B" w:rsidRPr="00261EA3">
        <w:t>scope</w:t>
      </w:r>
      <w:r w:rsidR="00261EA3" w:rsidRPr="00261EA3">
        <w:t xml:space="preserve"> of the Balance Control Mechanism.</w:t>
      </w:r>
      <w:r w:rsidR="00D657E9">
        <w:t xml:space="preserve"> The total excess balances in Southwark at the end of the financial year was </w:t>
      </w:r>
      <w:r w:rsidR="00D657E9" w:rsidRPr="001C3A77">
        <w:t>£</w:t>
      </w:r>
      <w:r w:rsidR="001C3A77" w:rsidRPr="001C3A77">
        <w:t>7.3m</w:t>
      </w:r>
      <w:r w:rsidR="00D95752" w:rsidRPr="001C3A77">
        <w:t>.</w:t>
      </w:r>
    </w:p>
    <w:p w:rsidR="00261EA3" w:rsidRPr="00261EA3" w:rsidRDefault="00261EA3" w:rsidP="00C23E81">
      <w:pPr>
        <w:jc w:val="both"/>
        <w:rPr>
          <w:rFonts w:ascii="Arial" w:hAnsi="Arial" w:cs="Arial"/>
          <w:b/>
          <w:sz w:val="22"/>
          <w:szCs w:val="22"/>
        </w:rPr>
      </w:pPr>
    </w:p>
    <w:p w:rsidR="00261EA3" w:rsidRPr="00F64C45" w:rsidRDefault="00430A08" w:rsidP="00F64C45">
      <w:pPr>
        <w:pStyle w:val="Heading1"/>
        <w:spacing w:before="0"/>
        <w:rPr>
          <w:b/>
        </w:rPr>
      </w:pPr>
      <w:r w:rsidRPr="00F64C45">
        <w:rPr>
          <w:b/>
        </w:rPr>
        <w:t>3</w:t>
      </w:r>
      <w:r w:rsidR="00F64C45" w:rsidRPr="00F64C45">
        <w:rPr>
          <w:b/>
        </w:rPr>
        <w:t>.</w:t>
      </w:r>
      <w:r w:rsidRPr="00F64C45">
        <w:rPr>
          <w:b/>
        </w:rPr>
        <w:tab/>
      </w:r>
      <w:r w:rsidR="00261EA3" w:rsidRPr="00F64C45">
        <w:rPr>
          <w:b/>
        </w:rPr>
        <w:t>Carry forward balances</w:t>
      </w:r>
    </w:p>
    <w:p w:rsidR="00261EA3" w:rsidRPr="00261EA3" w:rsidRDefault="00261EA3" w:rsidP="00C23E81">
      <w:pPr>
        <w:jc w:val="both"/>
        <w:rPr>
          <w:rFonts w:ascii="Arial" w:hAnsi="Arial" w:cs="Arial"/>
          <w:b/>
          <w:sz w:val="22"/>
          <w:szCs w:val="22"/>
        </w:rPr>
      </w:pPr>
    </w:p>
    <w:p w:rsidR="00261EA3" w:rsidRDefault="00D95752" w:rsidP="00593F28">
      <w:pPr>
        <w:pStyle w:val="Heading1"/>
        <w:spacing w:before="0"/>
        <w:ind w:left="720" w:hanging="720"/>
      </w:pPr>
      <w:r>
        <w:t>3.1</w:t>
      </w:r>
      <w:r>
        <w:tab/>
      </w:r>
      <w:r w:rsidR="00261EA3" w:rsidRPr="00261EA3">
        <w:t xml:space="preserve">Schools </w:t>
      </w:r>
      <w:proofErr w:type="gramStart"/>
      <w:r w:rsidR="00261EA3" w:rsidRPr="00261EA3">
        <w:t>are permitted</w:t>
      </w:r>
      <w:proofErr w:type="gramEnd"/>
      <w:r w:rsidR="00261EA3" w:rsidRPr="00261EA3">
        <w:t xml:space="preserve"> to carry forward surplus balances to the level of the balance control mechanism threshold. Where schools exceed the </w:t>
      </w:r>
      <w:proofErr w:type="gramStart"/>
      <w:r w:rsidR="00261EA3" w:rsidRPr="00261EA3">
        <w:t>balance control mechanism threshold</w:t>
      </w:r>
      <w:proofErr w:type="gramEnd"/>
      <w:r w:rsidR="00261EA3" w:rsidRPr="00261EA3">
        <w:t xml:space="preserve"> the School Forum may decide to clawback some of the excess. </w:t>
      </w:r>
      <w:r w:rsidR="00C54BCD">
        <w:t xml:space="preserve">While this is not a statutory power of the Schools Forum under </w:t>
      </w:r>
      <w:r w:rsidR="00593F28">
        <w:t>legislation,</w:t>
      </w:r>
      <w:r w:rsidR="00C54BCD">
        <w:t xml:space="preserve"> our </w:t>
      </w:r>
      <w:r w:rsidR="00C54BCD" w:rsidRPr="00C54BCD">
        <w:t>Southwark Scheme for Financing Schools</w:t>
      </w:r>
      <w:r w:rsidR="00C54BCD">
        <w:t xml:space="preserve"> does provide for a Schools Forum decision. </w:t>
      </w:r>
      <w:r w:rsidR="00261EA3" w:rsidRPr="00261EA3">
        <w:t xml:space="preserve">Any amount clawed back under this provision </w:t>
      </w:r>
      <w:proofErr w:type="gramStart"/>
      <w:r w:rsidR="00261EA3" w:rsidRPr="00261EA3">
        <w:t>will be applied</w:t>
      </w:r>
      <w:proofErr w:type="gramEnd"/>
      <w:r w:rsidR="00261EA3" w:rsidRPr="00261EA3">
        <w:t xml:space="preserve"> to the Schools Budget.</w:t>
      </w:r>
      <w:r w:rsidR="00C54BCD">
        <w:t xml:space="preserve"> </w:t>
      </w:r>
    </w:p>
    <w:p w:rsidR="00BA6377" w:rsidRDefault="00BA6377" w:rsidP="00C23E81">
      <w:pPr>
        <w:ind w:left="720" w:hanging="720"/>
        <w:jc w:val="both"/>
        <w:rPr>
          <w:rFonts w:ascii="Arial" w:hAnsi="Arial" w:cs="Arial"/>
          <w:sz w:val="22"/>
          <w:szCs w:val="22"/>
        </w:rPr>
      </w:pPr>
    </w:p>
    <w:p w:rsidR="00BA6377" w:rsidRDefault="00BA6377" w:rsidP="00593F28">
      <w:pPr>
        <w:pStyle w:val="Heading1"/>
        <w:spacing w:before="0"/>
        <w:ind w:left="720" w:hanging="720"/>
      </w:pPr>
      <w:r>
        <w:t xml:space="preserve">3.2 </w:t>
      </w:r>
      <w:r>
        <w:tab/>
        <w:t xml:space="preserve">Last year </w:t>
      </w:r>
      <w:r w:rsidR="00593F28">
        <w:t>eight</w:t>
      </w:r>
      <w:r>
        <w:t xml:space="preserve"> schools </w:t>
      </w:r>
      <w:proofErr w:type="gramStart"/>
      <w:r>
        <w:t>were capped and had</w:t>
      </w:r>
      <w:proofErr w:type="gramEnd"/>
      <w:r>
        <w:t xml:space="preserve"> their excess balances removed into a trust fund like account, from which they can “call down” the funds </w:t>
      </w:r>
      <w:r w:rsidR="00C00EAB">
        <w:t xml:space="preserve">once </w:t>
      </w:r>
      <w:r w:rsidR="00C00EAB" w:rsidRPr="00C00EAB">
        <w:t>spent</w:t>
      </w:r>
      <w:r w:rsidRPr="00C00EAB">
        <w:t>.</w:t>
      </w:r>
      <w:r>
        <w:t xml:space="preserve"> </w:t>
      </w:r>
    </w:p>
    <w:p w:rsidR="00BA6377" w:rsidRDefault="00BA6377" w:rsidP="00C23E81">
      <w:pPr>
        <w:ind w:left="720" w:hanging="720"/>
        <w:jc w:val="both"/>
        <w:rPr>
          <w:rFonts w:ascii="Arial" w:hAnsi="Arial" w:cs="Arial"/>
          <w:sz w:val="22"/>
          <w:szCs w:val="22"/>
        </w:rPr>
      </w:pPr>
    </w:p>
    <w:p w:rsidR="00BA6377" w:rsidRDefault="00BA6377" w:rsidP="00C23E81">
      <w:pPr>
        <w:ind w:left="720" w:hanging="720"/>
        <w:jc w:val="both"/>
        <w:rPr>
          <w:rFonts w:ascii="Arial" w:hAnsi="Arial" w:cs="Arial"/>
          <w:sz w:val="22"/>
          <w:szCs w:val="22"/>
        </w:rPr>
      </w:pPr>
      <w:r>
        <w:rPr>
          <w:rFonts w:ascii="Arial" w:hAnsi="Arial" w:cs="Arial"/>
          <w:sz w:val="22"/>
          <w:szCs w:val="22"/>
        </w:rPr>
        <w:tab/>
      </w:r>
    </w:p>
    <w:tbl>
      <w:tblPr>
        <w:tblW w:w="0" w:type="auto"/>
        <w:tblInd w:w="810" w:type="dxa"/>
        <w:tblCellMar>
          <w:left w:w="0" w:type="dxa"/>
          <w:right w:w="0" w:type="dxa"/>
        </w:tblCellMar>
        <w:tblLook w:val="04A0" w:firstRow="1" w:lastRow="0" w:firstColumn="1" w:lastColumn="0" w:noHBand="0" w:noVBand="1"/>
        <w:tblCaption w:val="Carry forward balances"/>
        <w:tblDescription w:val="This table shows schools Trust Fund carry forward balances"/>
      </w:tblPr>
      <w:tblGrid>
        <w:gridCol w:w="2688"/>
        <w:gridCol w:w="1706"/>
        <w:gridCol w:w="1241"/>
        <w:gridCol w:w="1272"/>
      </w:tblGrid>
      <w:tr w:rsidR="00BA6377" w:rsidTr="002411E4">
        <w:trPr>
          <w:trHeight w:val="295"/>
          <w:tblHeader/>
        </w:trPr>
        <w:tc>
          <w:tcPr>
            <w:tcW w:w="2688" w:type="dxa"/>
            <w:tcMar>
              <w:top w:w="0" w:type="dxa"/>
              <w:left w:w="30" w:type="dxa"/>
              <w:bottom w:w="0" w:type="dxa"/>
              <w:right w:w="30" w:type="dxa"/>
            </w:tcMar>
          </w:tcPr>
          <w:p w:rsidR="00BA6377" w:rsidRDefault="00BA6377">
            <w:pPr>
              <w:autoSpaceDE w:val="0"/>
              <w:autoSpaceDN w:val="0"/>
              <w:jc w:val="right"/>
              <w:rPr>
                <w:rFonts w:ascii="Arial" w:hAnsi="Arial" w:cs="Arial"/>
                <w:color w:val="000000"/>
                <w:lang w:eastAsia="en-GB"/>
              </w:rPr>
            </w:pPr>
          </w:p>
        </w:tc>
        <w:tc>
          <w:tcPr>
            <w:tcW w:w="1706" w:type="dxa"/>
            <w:tcMar>
              <w:top w:w="0" w:type="dxa"/>
              <w:left w:w="30" w:type="dxa"/>
              <w:bottom w:w="0" w:type="dxa"/>
              <w:right w:w="30" w:type="dxa"/>
            </w:tcMar>
            <w:hideMark/>
          </w:tcPr>
          <w:p w:rsidR="00BA6377" w:rsidRDefault="00BA6377">
            <w:pPr>
              <w:autoSpaceDE w:val="0"/>
              <w:autoSpaceDN w:val="0"/>
              <w:jc w:val="center"/>
              <w:rPr>
                <w:rFonts w:ascii="Arial" w:hAnsi="Arial" w:cs="Arial"/>
                <w:color w:val="000000"/>
                <w:lang w:eastAsia="en-GB"/>
              </w:rPr>
            </w:pPr>
            <w:r>
              <w:rPr>
                <w:rFonts w:ascii="Arial" w:hAnsi="Arial" w:cs="Arial"/>
                <w:color w:val="000000"/>
                <w:lang w:eastAsia="en-GB"/>
              </w:rPr>
              <w:t xml:space="preserve">Trust </w:t>
            </w:r>
          </w:p>
        </w:tc>
        <w:tc>
          <w:tcPr>
            <w:tcW w:w="1241" w:type="dxa"/>
            <w:tcMar>
              <w:top w:w="0" w:type="dxa"/>
              <w:left w:w="30" w:type="dxa"/>
              <w:bottom w:w="0" w:type="dxa"/>
              <w:right w:w="30" w:type="dxa"/>
            </w:tcMar>
            <w:hideMark/>
          </w:tcPr>
          <w:p w:rsidR="00BA6377" w:rsidRDefault="00BA6377">
            <w:pPr>
              <w:autoSpaceDE w:val="0"/>
              <w:autoSpaceDN w:val="0"/>
              <w:jc w:val="center"/>
              <w:rPr>
                <w:rFonts w:ascii="Arial" w:hAnsi="Arial" w:cs="Arial"/>
                <w:color w:val="000000"/>
                <w:lang w:eastAsia="en-GB"/>
              </w:rPr>
            </w:pPr>
            <w:r>
              <w:rPr>
                <w:rFonts w:ascii="Arial" w:hAnsi="Arial" w:cs="Arial"/>
                <w:color w:val="000000"/>
                <w:lang w:eastAsia="en-GB"/>
              </w:rPr>
              <w:t>Paid out</w:t>
            </w:r>
          </w:p>
        </w:tc>
        <w:tc>
          <w:tcPr>
            <w:tcW w:w="1272" w:type="dxa"/>
            <w:tcMar>
              <w:top w:w="0" w:type="dxa"/>
              <w:left w:w="30" w:type="dxa"/>
              <w:bottom w:w="0" w:type="dxa"/>
              <w:right w:w="30" w:type="dxa"/>
            </w:tcMar>
            <w:hideMark/>
          </w:tcPr>
          <w:p w:rsidR="00BA6377" w:rsidRDefault="00BA6377">
            <w:pPr>
              <w:autoSpaceDE w:val="0"/>
              <w:autoSpaceDN w:val="0"/>
              <w:jc w:val="center"/>
              <w:rPr>
                <w:rFonts w:ascii="Arial" w:hAnsi="Arial" w:cs="Arial"/>
                <w:color w:val="000000"/>
                <w:lang w:eastAsia="en-GB"/>
              </w:rPr>
            </w:pPr>
            <w:r>
              <w:rPr>
                <w:rFonts w:ascii="Arial" w:hAnsi="Arial" w:cs="Arial"/>
                <w:color w:val="000000"/>
                <w:lang w:eastAsia="en-GB"/>
              </w:rPr>
              <w:t xml:space="preserve">Balance </w:t>
            </w:r>
          </w:p>
        </w:tc>
      </w:tr>
      <w:tr w:rsidR="00BA6377" w:rsidTr="00BA6377">
        <w:trPr>
          <w:trHeight w:val="295"/>
        </w:trPr>
        <w:tc>
          <w:tcPr>
            <w:tcW w:w="2688" w:type="dxa"/>
            <w:tcMar>
              <w:top w:w="0" w:type="dxa"/>
              <w:left w:w="30" w:type="dxa"/>
              <w:bottom w:w="0" w:type="dxa"/>
              <w:right w:w="30" w:type="dxa"/>
            </w:tcMar>
          </w:tcPr>
          <w:p w:rsidR="00BA6377" w:rsidRDefault="00BA6377">
            <w:pPr>
              <w:autoSpaceDE w:val="0"/>
              <w:autoSpaceDN w:val="0"/>
              <w:jc w:val="right"/>
              <w:rPr>
                <w:rFonts w:ascii="Arial" w:hAnsi="Arial" w:cs="Arial"/>
                <w:color w:val="000000"/>
                <w:lang w:eastAsia="en-GB"/>
              </w:rPr>
            </w:pPr>
          </w:p>
        </w:tc>
        <w:tc>
          <w:tcPr>
            <w:tcW w:w="1706" w:type="dxa"/>
            <w:tcMar>
              <w:top w:w="0" w:type="dxa"/>
              <w:left w:w="30" w:type="dxa"/>
              <w:bottom w:w="0" w:type="dxa"/>
              <w:right w:w="30" w:type="dxa"/>
            </w:tcMar>
            <w:hideMark/>
          </w:tcPr>
          <w:p w:rsidR="00BA6377" w:rsidRDefault="00BA6377">
            <w:pPr>
              <w:autoSpaceDE w:val="0"/>
              <w:autoSpaceDN w:val="0"/>
              <w:jc w:val="center"/>
              <w:rPr>
                <w:rFonts w:ascii="Arial" w:hAnsi="Arial" w:cs="Arial"/>
                <w:color w:val="000000"/>
                <w:lang w:eastAsia="en-GB"/>
              </w:rPr>
            </w:pPr>
            <w:r>
              <w:rPr>
                <w:rFonts w:ascii="Arial" w:hAnsi="Arial" w:cs="Arial"/>
                <w:color w:val="000000"/>
                <w:lang w:eastAsia="en-GB"/>
              </w:rPr>
              <w:t xml:space="preserve">Fund </w:t>
            </w:r>
          </w:p>
        </w:tc>
        <w:tc>
          <w:tcPr>
            <w:tcW w:w="1241" w:type="dxa"/>
            <w:tcMar>
              <w:top w:w="0" w:type="dxa"/>
              <w:left w:w="30" w:type="dxa"/>
              <w:bottom w:w="0" w:type="dxa"/>
              <w:right w:w="30" w:type="dxa"/>
            </w:tcMar>
          </w:tcPr>
          <w:p w:rsidR="00BA6377" w:rsidRDefault="00BA6377">
            <w:pPr>
              <w:autoSpaceDE w:val="0"/>
              <w:autoSpaceDN w:val="0"/>
              <w:jc w:val="center"/>
              <w:rPr>
                <w:rFonts w:ascii="Arial" w:hAnsi="Arial" w:cs="Arial"/>
                <w:color w:val="000000"/>
                <w:lang w:eastAsia="en-GB"/>
              </w:rPr>
            </w:pPr>
          </w:p>
        </w:tc>
        <w:tc>
          <w:tcPr>
            <w:tcW w:w="1272" w:type="dxa"/>
            <w:tcMar>
              <w:top w:w="0" w:type="dxa"/>
              <w:left w:w="30" w:type="dxa"/>
              <w:bottom w:w="0" w:type="dxa"/>
              <w:right w:w="30" w:type="dxa"/>
            </w:tcMar>
          </w:tcPr>
          <w:p w:rsidR="00BA6377" w:rsidRDefault="00BA6377">
            <w:pPr>
              <w:autoSpaceDE w:val="0"/>
              <w:autoSpaceDN w:val="0"/>
              <w:jc w:val="center"/>
              <w:rPr>
                <w:rFonts w:ascii="Arial" w:hAnsi="Arial" w:cs="Arial"/>
                <w:color w:val="000000"/>
                <w:lang w:eastAsia="en-GB"/>
              </w:rPr>
            </w:pPr>
          </w:p>
        </w:tc>
      </w:tr>
      <w:tr w:rsidR="00BA6377" w:rsidTr="00BA6377">
        <w:trPr>
          <w:trHeight w:val="295"/>
        </w:trPr>
        <w:tc>
          <w:tcPr>
            <w:tcW w:w="2688" w:type="dxa"/>
            <w:tcMar>
              <w:top w:w="0" w:type="dxa"/>
              <w:left w:w="30" w:type="dxa"/>
              <w:bottom w:w="0" w:type="dxa"/>
              <w:right w:w="30" w:type="dxa"/>
            </w:tcMar>
          </w:tcPr>
          <w:p w:rsidR="00BA6377" w:rsidRDefault="00BA6377">
            <w:pPr>
              <w:autoSpaceDE w:val="0"/>
              <w:autoSpaceDN w:val="0"/>
              <w:jc w:val="right"/>
              <w:rPr>
                <w:rFonts w:ascii="Arial" w:hAnsi="Arial" w:cs="Arial"/>
                <w:color w:val="000000"/>
                <w:lang w:eastAsia="en-GB"/>
              </w:rPr>
            </w:pPr>
          </w:p>
        </w:tc>
        <w:tc>
          <w:tcPr>
            <w:tcW w:w="1706" w:type="dxa"/>
            <w:tcMar>
              <w:top w:w="0" w:type="dxa"/>
              <w:left w:w="30" w:type="dxa"/>
              <w:bottom w:w="0" w:type="dxa"/>
              <w:right w:w="30" w:type="dxa"/>
            </w:tcMar>
            <w:hideMark/>
          </w:tcPr>
          <w:p w:rsidR="00BA6377" w:rsidRDefault="00BA6377">
            <w:pPr>
              <w:autoSpaceDE w:val="0"/>
              <w:autoSpaceDN w:val="0"/>
              <w:jc w:val="center"/>
              <w:rPr>
                <w:rFonts w:ascii="Arial" w:hAnsi="Arial" w:cs="Arial"/>
                <w:color w:val="000000"/>
                <w:lang w:eastAsia="en-GB"/>
              </w:rPr>
            </w:pPr>
            <w:r>
              <w:rPr>
                <w:rFonts w:ascii="Arial" w:hAnsi="Arial" w:cs="Arial"/>
                <w:color w:val="000000"/>
                <w:lang w:eastAsia="en-GB"/>
              </w:rPr>
              <w:t>£</w:t>
            </w:r>
          </w:p>
        </w:tc>
        <w:tc>
          <w:tcPr>
            <w:tcW w:w="1241" w:type="dxa"/>
            <w:tcMar>
              <w:top w:w="0" w:type="dxa"/>
              <w:left w:w="30" w:type="dxa"/>
              <w:bottom w:w="0" w:type="dxa"/>
              <w:right w:w="30" w:type="dxa"/>
            </w:tcMar>
            <w:hideMark/>
          </w:tcPr>
          <w:p w:rsidR="00BA6377" w:rsidRDefault="00BA6377">
            <w:pPr>
              <w:autoSpaceDE w:val="0"/>
              <w:autoSpaceDN w:val="0"/>
              <w:jc w:val="center"/>
              <w:rPr>
                <w:rFonts w:ascii="Arial" w:hAnsi="Arial" w:cs="Arial"/>
                <w:color w:val="000000"/>
                <w:lang w:eastAsia="en-GB"/>
              </w:rPr>
            </w:pPr>
            <w:r>
              <w:rPr>
                <w:rFonts w:ascii="Arial" w:hAnsi="Arial" w:cs="Arial"/>
                <w:color w:val="000000"/>
                <w:lang w:eastAsia="en-GB"/>
              </w:rPr>
              <w:t>£</w:t>
            </w:r>
          </w:p>
        </w:tc>
        <w:tc>
          <w:tcPr>
            <w:tcW w:w="1272" w:type="dxa"/>
            <w:tcMar>
              <w:top w:w="0" w:type="dxa"/>
              <w:left w:w="30" w:type="dxa"/>
              <w:bottom w:w="0" w:type="dxa"/>
              <w:right w:w="30" w:type="dxa"/>
            </w:tcMar>
            <w:hideMark/>
          </w:tcPr>
          <w:p w:rsidR="00BA6377" w:rsidRDefault="00BA6377">
            <w:pPr>
              <w:autoSpaceDE w:val="0"/>
              <w:autoSpaceDN w:val="0"/>
              <w:jc w:val="center"/>
              <w:rPr>
                <w:rFonts w:ascii="Arial" w:hAnsi="Arial" w:cs="Arial"/>
                <w:color w:val="000000"/>
                <w:lang w:eastAsia="en-GB"/>
              </w:rPr>
            </w:pPr>
            <w:r>
              <w:rPr>
                <w:rFonts w:ascii="Arial" w:hAnsi="Arial" w:cs="Arial"/>
                <w:color w:val="000000"/>
                <w:lang w:eastAsia="en-GB"/>
              </w:rPr>
              <w:t>£</w:t>
            </w:r>
          </w:p>
        </w:tc>
      </w:tr>
      <w:tr w:rsidR="00BA6377" w:rsidTr="00BA6377">
        <w:trPr>
          <w:trHeight w:val="295"/>
        </w:trPr>
        <w:tc>
          <w:tcPr>
            <w:tcW w:w="2688" w:type="dxa"/>
            <w:tcMar>
              <w:top w:w="0" w:type="dxa"/>
              <w:left w:w="30" w:type="dxa"/>
              <w:bottom w:w="0" w:type="dxa"/>
              <w:right w:w="30" w:type="dxa"/>
            </w:tcMar>
            <w:hideMark/>
          </w:tcPr>
          <w:p w:rsidR="00BA6377" w:rsidRDefault="00BA6377">
            <w:pPr>
              <w:autoSpaceDE w:val="0"/>
              <w:autoSpaceDN w:val="0"/>
              <w:rPr>
                <w:rFonts w:ascii="Arial" w:hAnsi="Arial" w:cs="Arial"/>
                <w:color w:val="000000"/>
                <w:lang w:eastAsia="en-GB"/>
              </w:rPr>
            </w:pPr>
            <w:r>
              <w:rPr>
                <w:rFonts w:ascii="Arial" w:hAnsi="Arial" w:cs="Arial"/>
                <w:color w:val="000000"/>
                <w:lang w:eastAsia="en-GB"/>
              </w:rPr>
              <w:t xml:space="preserve">School 1 </w:t>
            </w:r>
          </w:p>
        </w:tc>
        <w:tc>
          <w:tcPr>
            <w:tcW w:w="1706" w:type="dxa"/>
            <w:tcMar>
              <w:top w:w="0" w:type="dxa"/>
              <w:left w:w="30" w:type="dxa"/>
              <w:bottom w:w="0" w:type="dxa"/>
              <w:right w:w="30" w:type="dxa"/>
            </w:tcMar>
            <w:hideMark/>
          </w:tcPr>
          <w:p w:rsidR="00BA6377" w:rsidRDefault="00BA6377">
            <w:pPr>
              <w:autoSpaceDE w:val="0"/>
              <w:autoSpaceDN w:val="0"/>
              <w:jc w:val="right"/>
              <w:rPr>
                <w:rFonts w:ascii="Arial" w:hAnsi="Arial" w:cs="Arial"/>
                <w:color w:val="000000"/>
                <w:lang w:eastAsia="en-GB"/>
              </w:rPr>
            </w:pPr>
            <w:r>
              <w:rPr>
                <w:rFonts w:ascii="Arial" w:hAnsi="Arial" w:cs="Arial"/>
                <w:color w:val="000000"/>
                <w:lang w:eastAsia="en-GB"/>
              </w:rPr>
              <w:t>158,000</w:t>
            </w:r>
          </w:p>
        </w:tc>
        <w:tc>
          <w:tcPr>
            <w:tcW w:w="1241" w:type="dxa"/>
            <w:tcMar>
              <w:top w:w="0" w:type="dxa"/>
              <w:left w:w="30" w:type="dxa"/>
              <w:bottom w:w="0" w:type="dxa"/>
              <w:right w:w="30" w:type="dxa"/>
            </w:tcMar>
            <w:hideMark/>
          </w:tcPr>
          <w:p w:rsidR="00BA6377" w:rsidRDefault="00BA6377">
            <w:pPr>
              <w:autoSpaceDE w:val="0"/>
              <w:autoSpaceDN w:val="0"/>
              <w:jc w:val="right"/>
              <w:rPr>
                <w:rFonts w:ascii="Arial" w:hAnsi="Arial" w:cs="Arial"/>
                <w:color w:val="000000"/>
                <w:lang w:eastAsia="en-GB"/>
              </w:rPr>
            </w:pPr>
            <w:r>
              <w:rPr>
                <w:rFonts w:ascii="Arial" w:hAnsi="Arial" w:cs="Arial"/>
                <w:color w:val="000000"/>
                <w:lang w:eastAsia="en-GB"/>
              </w:rPr>
              <w:t>0</w:t>
            </w:r>
          </w:p>
        </w:tc>
        <w:tc>
          <w:tcPr>
            <w:tcW w:w="1272" w:type="dxa"/>
            <w:tcMar>
              <w:top w:w="0" w:type="dxa"/>
              <w:left w:w="30" w:type="dxa"/>
              <w:bottom w:w="0" w:type="dxa"/>
              <w:right w:w="30" w:type="dxa"/>
            </w:tcMar>
            <w:hideMark/>
          </w:tcPr>
          <w:p w:rsidR="00BA6377" w:rsidRDefault="00BA6377">
            <w:pPr>
              <w:autoSpaceDE w:val="0"/>
              <w:autoSpaceDN w:val="0"/>
              <w:jc w:val="right"/>
              <w:rPr>
                <w:rFonts w:ascii="Arial" w:hAnsi="Arial" w:cs="Arial"/>
                <w:color w:val="000000"/>
                <w:lang w:eastAsia="en-GB"/>
              </w:rPr>
            </w:pPr>
            <w:r>
              <w:rPr>
                <w:rFonts w:ascii="Arial" w:hAnsi="Arial" w:cs="Arial"/>
                <w:color w:val="000000"/>
                <w:lang w:eastAsia="en-GB"/>
              </w:rPr>
              <w:t>158,000</w:t>
            </w:r>
          </w:p>
        </w:tc>
      </w:tr>
      <w:tr w:rsidR="00BA6377" w:rsidTr="00BA6377">
        <w:trPr>
          <w:trHeight w:val="295"/>
        </w:trPr>
        <w:tc>
          <w:tcPr>
            <w:tcW w:w="2688" w:type="dxa"/>
            <w:tcMar>
              <w:top w:w="0" w:type="dxa"/>
              <w:left w:w="30" w:type="dxa"/>
              <w:bottom w:w="0" w:type="dxa"/>
              <w:right w:w="30" w:type="dxa"/>
            </w:tcMar>
            <w:hideMark/>
          </w:tcPr>
          <w:p w:rsidR="00BA6377" w:rsidRDefault="00BA6377" w:rsidP="00BA6377">
            <w:r w:rsidRPr="00D33E37">
              <w:rPr>
                <w:rFonts w:ascii="Arial" w:hAnsi="Arial" w:cs="Arial"/>
                <w:color w:val="000000"/>
                <w:lang w:eastAsia="en-GB"/>
              </w:rPr>
              <w:t xml:space="preserve">School </w:t>
            </w:r>
            <w:r>
              <w:rPr>
                <w:rFonts w:ascii="Arial" w:hAnsi="Arial" w:cs="Arial"/>
                <w:color w:val="000000"/>
                <w:lang w:eastAsia="en-GB"/>
              </w:rPr>
              <w:t>2</w:t>
            </w:r>
          </w:p>
        </w:tc>
        <w:tc>
          <w:tcPr>
            <w:tcW w:w="1706"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176,000</w:t>
            </w:r>
          </w:p>
        </w:tc>
        <w:tc>
          <w:tcPr>
            <w:tcW w:w="1241"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0</w:t>
            </w:r>
          </w:p>
        </w:tc>
        <w:tc>
          <w:tcPr>
            <w:tcW w:w="1272"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176,000</w:t>
            </w:r>
          </w:p>
        </w:tc>
      </w:tr>
      <w:tr w:rsidR="00BA6377" w:rsidTr="00BA6377">
        <w:trPr>
          <w:trHeight w:val="295"/>
        </w:trPr>
        <w:tc>
          <w:tcPr>
            <w:tcW w:w="2688" w:type="dxa"/>
            <w:tcMar>
              <w:top w:w="0" w:type="dxa"/>
              <w:left w:w="30" w:type="dxa"/>
              <w:bottom w:w="0" w:type="dxa"/>
              <w:right w:w="30" w:type="dxa"/>
            </w:tcMar>
            <w:hideMark/>
          </w:tcPr>
          <w:p w:rsidR="00BA6377" w:rsidRDefault="00BA6377" w:rsidP="00BA6377">
            <w:r w:rsidRPr="00D33E37">
              <w:rPr>
                <w:rFonts w:ascii="Arial" w:hAnsi="Arial" w:cs="Arial"/>
                <w:color w:val="000000"/>
                <w:lang w:eastAsia="en-GB"/>
              </w:rPr>
              <w:t xml:space="preserve">School </w:t>
            </w:r>
            <w:r>
              <w:rPr>
                <w:rFonts w:ascii="Arial" w:hAnsi="Arial" w:cs="Arial"/>
                <w:color w:val="000000"/>
                <w:lang w:eastAsia="en-GB"/>
              </w:rPr>
              <w:t>3</w:t>
            </w:r>
          </w:p>
        </w:tc>
        <w:tc>
          <w:tcPr>
            <w:tcW w:w="1706"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92,000</w:t>
            </w:r>
          </w:p>
        </w:tc>
        <w:tc>
          <w:tcPr>
            <w:tcW w:w="1241"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0</w:t>
            </w:r>
          </w:p>
        </w:tc>
        <w:tc>
          <w:tcPr>
            <w:tcW w:w="1272"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92,000</w:t>
            </w:r>
          </w:p>
        </w:tc>
      </w:tr>
      <w:tr w:rsidR="00BA6377" w:rsidTr="00BA6377">
        <w:trPr>
          <w:trHeight w:val="295"/>
        </w:trPr>
        <w:tc>
          <w:tcPr>
            <w:tcW w:w="2688" w:type="dxa"/>
            <w:tcMar>
              <w:top w:w="0" w:type="dxa"/>
              <w:left w:w="30" w:type="dxa"/>
              <w:bottom w:w="0" w:type="dxa"/>
              <w:right w:w="30" w:type="dxa"/>
            </w:tcMar>
            <w:hideMark/>
          </w:tcPr>
          <w:p w:rsidR="00BA6377" w:rsidRDefault="00BA6377" w:rsidP="00BA6377">
            <w:r w:rsidRPr="00D33E37">
              <w:rPr>
                <w:rFonts w:ascii="Arial" w:hAnsi="Arial" w:cs="Arial"/>
                <w:color w:val="000000"/>
                <w:lang w:eastAsia="en-GB"/>
              </w:rPr>
              <w:t xml:space="preserve">School </w:t>
            </w:r>
            <w:r>
              <w:rPr>
                <w:rFonts w:ascii="Arial" w:hAnsi="Arial" w:cs="Arial"/>
                <w:color w:val="000000"/>
                <w:lang w:eastAsia="en-GB"/>
              </w:rPr>
              <w:t>4</w:t>
            </w:r>
          </w:p>
        </w:tc>
        <w:tc>
          <w:tcPr>
            <w:tcW w:w="1706"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265,000</w:t>
            </w:r>
          </w:p>
        </w:tc>
        <w:tc>
          <w:tcPr>
            <w:tcW w:w="1241"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126,355</w:t>
            </w:r>
          </w:p>
        </w:tc>
        <w:tc>
          <w:tcPr>
            <w:tcW w:w="1272"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138,645</w:t>
            </w:r>
          </w:p>
        </w:tc>
      </w:tr>
      <w:tr w:rsidR="00BA6377" w:rsidTr="00BA6377">
        <w:trPr>
          <w:trHeight w:val="295"/>
        </w:trPr>
        <w:tc>
          <w:tcPr>
            <w:tcW w:w="2688" w:type="dxa"/>
            <w:tcMar>
              <w:top w:w="0" w:type="dxa"/>
              <w:left w:w="30" w:type="dxa"/>
              <w:bottom w:w="0" w:type="dxa"/>
              <w:right w:w="30" w:type="dxa"/>
            </w:tcMar>
            <w:hideMark/>
          </w:tcPr>
          <w:p w:rsidR="00BA6377" w:rsidRDefault="00BA6377" w:rsidP="00BA6377">
            <w:r w:rsidRPr="00D33E37">
              <w:rPr>
                <w:rFonts w:ascii="Arial" w:hAnsi="Arial" w:cs="Arial"/>
                <w:color w:val="000000"/>
                <w:lang w:eastAsia="en-GB"/>
              </w:rPr>
              <w:t xml:space="preserve">School </w:t>
            </w:r>
            <w:r>
              <w:rPr>
                <w:rFonts w:ascii="Arial" w:hAnsi="Arial" w:cs="Arial"/>
                <w:color w:val="000000"/>
                <w:lang w:eastAsia="en-GB"/>
              </w:rPr>
              <w:t>5</w:t>
            </w:r>
          </w:p>
        </w:tc>
        <w:tc>
          <w:tcPr>
            <w:tcW w:w="1706"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83,000</w:t>
            </w:r>
          </w:p>
        </w:tc>
        <w:tc>
          <w:tcPr>
            <w:tcW w:w="1241"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0</w:t>
            </w:r>
          </w:p>
        </w:tc>
        <w:tc>
          <w:tcPr>
            <w:tcW w:w="1272"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83,000</w:t>
            </w:r>
          </w:p>
        </w:tc>
      </w:tr>
      <w:tr w:rsidR="00BA6377" w:rsidTr="00BA6377">
        <w:trPr>
          <w:trHeight w:val="295"/>
        </w:trPr>
        <w:tc>
          <w:tcPr>
            <w:tcW w:w="2688" w:type="dxa"/>
            <w:tcMar>
              <w:top w:w="0" w:type="dxa"/>
              <w:left w:w="30" w:type="dxa"/>
              <w:bottom w:w="0" w:type="dxa"/>
              <w:right w:w="30" w:type="dxa"/>
            </w:tcMar>
            <w:hideMark/>
          </w:tcPr>
          <w:p w:rsidR="00BA6377" w:rsidRDefault="00BA6377" w:rsidP="00BA6377">
            <w:r w:rsidRPr="00D33E37">
              <w:rPr>
                <w:rFonts w:ascii="Arial" w:hAnsi="Arial" w:cs="Arial"/>
                <w:color w:val="000000"/>
                <w:lang w:eastAsia="en-GB"/>
              </w:rPr>
              <w:t xml:space="preserve">School </w:t>
            </w:r>
            <w:r>
              <w:rPr>
                <w:rFonts w:ascii="Arial" w:hAnsi="Arial" w:cs="Arial"/>
                <w:color w:val="000000"/>
                <w:lang w:eastAsia="en-GB"/>
              </w:rPr>
              <w:t>6</w:t>
            </w:r>
          </w:p>
        </w:tc>
        <w:tc>
          <w:tcPr>
            <w:tcW w:w="1706"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48,000</w:t>
            </w:r>
          </w:p>
        </w:tc>
        <w:tc>
          <w:tcPr>
            <w:tcW w:w="1241"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42,541</w:t>
            </w:r>
          </w:p>
        </w:tc>
        <w:tc>
          <w:tcPr>
            <w:tcW w:w="1272"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5,459</w:t>
            </w:r>
          </w:p>
        </w:tc>
      </w:tr>
      <w:tr w:rsidR="00BA6377" w:rsidTr="00BA6377">
        <w:trPr>
          <w:trHeight w:val="295"/>
        </w:trPr>
        <w:tc>
          <w:tcPr>
            <w:tcW w:w="2688" w:type="dxa"/>
            <w:tcMar>
              <w:top w:w="0" w:type="dxa"/>
              <w:left w:w="30" w:type="dxa"/>
              <w:bottom w:w="0" w:type="dxa"/>
              <w:right w:w="30" w:type="dxa"/>
            </w:tcMar>
            <w:hideMark/>
          </w:tcPr>
          <w:p w:rsidR="00BA6377" w:rsidRDefault="00BA6377" w:rsidP="00BA6377">
            <w:r w:rsidRPr="00D33E37">
              <w:rPr>
                <w:rFonts w:ascii="Arial" w:hAnsi="Arial" w:cs="Arial"/>
                <w:color w:val="000000"/>
                <w:lang w:eastAsia="en-GB"/>
              </w:rPr>
              <w:t xml:space="preserve">School </w:t>
            </w:r>
            <w:r>
              <w:rPr>
                <w:rFonts w:ascii="Arial" w:hAnsi="Arial" w:cs="Arial"/>
                <w:color w:val="000000"/>
                <w:lang w:eastAsia="en-GB"/>
              </w:rPr>
              <w:t>7</w:t>
            </w:r>
          </w:p>
        </w:tc>
        <w:tc>
          <w:tcPr>
            <w:tcW w:w="1706"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500,000</w:t>
            </w:r>
          </w:p>
        </w:tc>
        <w:tc>
          <w:tcPr>
            <w:tcW w:w="1241"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0</w:t>
            </w:r>
          </w:p>
        </w:tc>
        <w:tc>
          <w:tcPr>
            <w:tcW w:w="1272"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500,000</w:t>
            </w:r>
          </w:p>
        </w:tc>
      </w:tr>
      <w:tr w:rsidR="00BA6377" w:rsidTr="00BA6377">
        <w:trPr>
          <w:trHeight w:val="295"/>
        </w:trPr>
        <w:tc>
          <w:tcPr>
            <w:tcW w:w="2688" w:type="dxa"/>
            <w:tcMar>
              <w:top w:w="0" w:type="dxa"/>
              <w:left w:w="30" w:type="dxa"/>
              <w:bottom w:w="0" w:type="dxa"/>
              <w:right w:w="30" w:type="dxa"/>
            </w:tcMar>
            <w:hideMark/>
          </w:tcPr>
          <w:p w:rsidR="00BA6377" w:rsidRDefault="00BA6377" w:rsidP="00BA6377">
            <w:r w:rsidRPr="00D33E37">
              <w:rPr>
                <w:rFonts w:ascii="Arial" w:hAnsi="Arial" w:cs="Arial"/>
                <w:color w:val="000000"/>
                <w:lang w:eastAsia="en-GB"/>
              </w:rPr>
              <w:t xml:space="preserve">School </w:t>
            </w:r>
            <w:r>
              <w:rPr>
                <w:rFonts w:ascii="Arial" w:hAnsi="Arial" w:cs="Arial"/>
                <w:color w:val="000000"/>
                <w:lang w:eastAsia="en-GB"/>
              </w:rPr>
              <w:t>8</w:t>
            </w:r>
          </w:p>
        </w:tc>
        <w:tc>
          <w:tcPr>
            <w:tcW w:w="1706"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360,000</w:t>
            </w:r>
          </w:p>
        </w:tc>
        <w:tc>
          <w:tcPr>
            <w:tcW w:w="1241"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3,143</w:t>
            </w:r>
          </w:p>
        </w:tc>
        <w:tc>
          <w:tcPr>
            <w:tcW w:w="1272" w:type="dxa"/>
            <w:tcMar>
              <w:top w:w="0" w:type="dxa"/>
              <w:left w:w="30" w:type="dxa"/>
              <w:bottom w:w="0" w:type="dxa"/>
              <w:right w:w="30" w:type="dxa"/>
            </w:tcMar>
            <w:hideMark/>
          </w:tcPr>
          <w:p w:rsidR="00BA6377" w:rsidRDefault="00BA6377" w:rsidP="00BA6377">
            <w:pPr>
              <w:autoSpaceDE w:val="0"/>
              <w:autoSpaceDN w:val="0"/>
              <w:jc w:val="right"/>
              <w:rPr>
                <w:rFonts w:ascii="Arial" w:hAnsi="Arial" w:cs="Arial"/>
                <w:color w:val="000000"/>
                <w:lang w:eastAsia="en-GB"/>
              </w:rPr>
            </w:pPr>
            <w:r>
              <w:rPr>
                <w:rFonts w:ascii="Arial" w:hAnsi="Arial" w:cs="Arial"/>
                <w:color w:val="000000"/>
                <w:lang w:eastAsia="en-GB"/>
              </w:rPr>
              <w:t>356,857</w:t>
            </w:r>
          </w:p>
        </w:tc>
      </w:tr>
      <w:tr w:rsidR="00BA6377" w:rsidTr="00BA6377">
        <w:trPr>
          <w:trHeight w:val="295"/>
        </w:trPr>
        <w:tc>
          <w:tcPr>
            <w:tcW w:w="2688" w:type="dxa"/>
            <w:tcMar>
              <w:top w:w="0" w:type="dxa"/>
              <w:left w:w="30" w:type="dxa"/>
              <w:bottom w:w="0" w:type="dxa"/>
              <w:right w:w="30" w:type="dxa"/>
            </w:tcMar>
          </w:tcPr>
          <w:p w:rsidR="00BA6377" w:rsidRDefault="00BA6377">
            <w:pPr>
              <w:autoSpaceDE w:val="0"/>
              <w:autoSpaceDN w:val="0"/>
              <w:jc w:val="right"/>
              <w:rPr>
                <w:rFonts w:ascii="Arial" w:hAnsi="Arial" w:cs="Arial"/>
                <w:color w:val="000000"/>
                <w:lang w:eastAsia="en-GB"/>
              </w:rPr>
            </w:pPr>
          </w:p>
        </w:tc>
        <w:tc>
          <w:tcPr>
            <w:tcW w:w="1706" w:type="dxa"/>
            <w:tcMar>
              <w:top w:w="0" w:type="dxa"/>
              <w:left w:w="30" w:type="dxa"/>
              <w:bottom w:w="0" w:type="dxa"/>
              <w:right w:w="30" w:type="dxa"/>
            </w:tcMar>
          </w:tcPr>
          <w:p w:rsidR="00BA6377" w:rsidRDefault="00BA6377">
            <w:pPr>
              <w:autoSpaceDE w:val="0"/>
              <w:autoSpaceDN w:val="0"/>
              <w:jc w:val="right"/>
              <w:rPr>
                <w:rFonts w:ascii="Arial" w:hAnsi="Arial" w:cs="Arial"/>
                <w:color w:val="000000"/>
                <w:lang w:eastAsia="en-GB"/>
              </w:rPr>
            </w:pPr>
          </w:p>
        </w:tc>
        <w:tc>
          <w:tcPr>
            <w:tcW w:w="1241" w:type="dxa"/>
            <w:tcMar>
              <w:top w:w="0" w:type="dxa"/>
              <w:left w:w="30" w:type="dxa"/>
              <w:bottom w:w="0" w:type="dxa"/>
              <w:right w:w="30" w:type="dxa"/>
            </w:tcMar>
          </w:tcPr>
          <w:p w:rsidR="00BA6377" w:rsidRDefault="00BA6377">
            <w:pPr>
              <w:autoSpaceDE w:val="0"/>
              <w:autoSpaceDN w:val="0"/>
              <w:jc w:val="right"/>
              <w:rPr>
                <w:rFonts w:ascii="Arial" w:hAnsi="Arial" w:cs="Arial"/>
                <w:color w:val="000000"/>
                <w:lang w:eastAsia="en-GB"/>
              </w:rPr>
            </w:pPr>
          </w:p>
        </w:tc>
        <w:tc>
          <w:tcPr>
            <w:tcW w:w="1272" w:type="dxa"/>
            <w:tcMar>
              <w:top w:w="0" w:type="dxa"/>
              <w:left w:w="30" w:type="dxa"/>
              <w:bottom w:w="0" w:type="dxa"/>
              <w:right w:w="30" w:type="dxa"/>
            </w:tcMar>
          </w:tcPr>
          <w:p w:rsidR="00BA6377" w:rsidRDefault="00BA6377">
            <w:pPr>
              <w:autoSpaceDE w:val="0"/>
              <w:autoSpaceDN w:val="0"/>
              <w:jc w:val="right"/>
              <w:rPr>
                <w:rFonts w:ascii="Arial" w:hAnsi="Arial" w:cs="Arial"/>
                <w:color w:val="000000"/>
                <w:lang w:eastAsia="en-GB"/>
              </w:rPr>
            </w:pPr>
          </w:p>
        </w:tc>
      </w:tr>
      <w:tr w:rsidR="00BA6377" w:rsidTr="00BA6377">
        <w:trPr>
          <w:trHeight w:val="295"/>
        </w:trPr>
        <w:tc>
          <w:tcPr>
            <w:tcW w:w="2688" w:type="dxa"/>
            <w:tcMar>
              <w:top w:w="0" w:type="dxa"/>
              <w:left w:w="30" w:type="dxa"/>
              <w:bottom w:w="0" w:type="dxa"/>
              <w:right w:w="30" w:type="dxa"/>
            </w:tcMar>
          </w:tcPr>
          <w:p w:rsidR="00BA6377" w:rsidRDefault="00BA6377">
            <w:pPr>
              <w:autoSpaceDE w:val="0"/>
              <w:autoSpaceDN w:val="0"/>
              <w:jc w:val="right"/>
              <w:rPr>
                <w:rFonts w:ascii="Arial" w:hAnsi="Arial" w:cs="Arial"/>
                <w:color w:val="000000"/>
                <w:lang w:eastAsia="en-GB"/>
              </w:rPr>
            </w:pPr>
          </w:p>
        </w:tc>
        <w:tc>
          <w:tcPr>
            <w:tcW w:w="1706" w:type="dxa"/>
            <w:tcMar>
              <w:top w:w="0" w:type="dxa"/>
              <w:left w:w="30" w:type="dxa"/>
              <w:bottom w:w="0" w:type="dxa"/>
              <w:right w:w="30" w:type="dxa"/>
            </w:tcMar>
            <w:hideMark/>
          </w:tcPr>
          <w:p w:rsidR="00BA6377" w:rsidRDefault="00BA6377">
            <w:pPr>
              <w:autoSpaceDE w:val="0"/>
              <w:autoSpaceDN w:val="0"/>
              <w:jc w:val="right"/>
              <w:rPr>
                <w:rFonts w:ascii="Arial" w:hAnsi="Arial" w:cs="Arial"/>
                <w:color w:val="000000"/>
                <w:lang w:eastAsia="en-GB"/>
              </w:rPr>
            </w:pPr>
            <w:r>
              <w:rPr>
                <w:rFonts w:ascii="Arial" w:hAnsi="Arial" w:cs="Arial"/>
                <w:color w:val="000000"/>
                <w:lang w:eastAsia="en-GB"/>
              </w:rPr>
              <w:t>1,682,000</w:t>
            </w:r>
          </w:p>
        </w:tc>
        <w:tc>
          <w:tcPr>
            <w:tcW w:w="1241" w:type="dxa"/>
            <w:tcMar>
              <w:top w:w="0" w:type="dxa"/>
              <w:left w:w="30" w:type="dxa"/>
              <w:bottom w:w="0" w:type="dxa"/>
              <w:right w:w="30" w:type="dxa"/>
            </w:tcMar>
            <w:hideMark/>
          </w:tcPr>
          <w:p w:rsidR="00BA6377" w:rsidRDefault="00BA6377">
            <w:pPr>
              <w:autoSpaceDE w:val="0"/>
              <w:autoSpaceDN w:val="0"/>
              <w:jc w:val="right"/>
              <w:rPr>
                <w:rFonts w:ascii="Arial" w:hAnsi="Arial" w:cs="Arial"/>
                <w:color w:val="000000"/>
                <w:lang w:eastAsia="en-GB"/>
              </w:rPr>
            </w:pPr>
            <w:r>
              <w:rPr>
                <w:rFonts w:ascii="Arial" w:hAnsi="Arial" w:cs="Arial"/>
                <w:color w:val="000000"/>
                <w:lang w:eastAsia="en-GB"/>
              </w:rPr>
              <w:t>172,039</w:t>
            </w:r>
          </w:p>
        </w:tc>
        <w:tc>
          <w:tcPr>
            <w:tcW w:w="1272" w:type="dxa"/>
            <w:tcMar>
              <w:top w:w="0" w:type="dxa"/>
              <w:left w:w="30" w:type="dxa"/>
              <w:bottom w:w="0" w:type="dxa"/>
              <w:right w:w="30" w:type="dxa"/>
            </w:tcMar>
            <w:hideMark/>
          </w:tcPr>
          <w:p w:rsidR="00BA6377" w:rsidRDefault="00BA6377">
            <w:pPr>
              <w:autoSpaceDE w:val="0"/>
              <w:autoSpaceDN w:val="0"/>
              <w:jc w:val="right"/>
              <w:rPr>
                <w:rFonts w:ascii="Arial" w:hAnsi="Arial" w:cs="Arial"/>
                <w:color w:val="000000"/>
                <w:lang w:eastAsia="en-GB"/>
              </w:rPr>
            </w:pPr>
            <w:r>
              <w:rPr>
                <w:rFonts w:ascii="Arial" w:hAnsi="Arial" w:cs="Arial"/>
                <w:color w:val="000000"/>
                <w:lang w:eastAsia="en-GB"/>
              </w:rPr>
              <w:t>1,509,961</w:t>
            </w:r>
          </w:p>
        </w:tc>
      </w:tr>
    </w:tbl>
    <w:p w:rsidR="00BA6377" w:rsidRDefault="00BA6377" w:rsidP="00C23E81">
      <w:pPr>
        <w:ind w:left="720" w:hanging="720"/>
        <w:jc w:val="both"/>
        <w:rPr>
          <w:rFonts w:ascii="Arial" w:hAnsi="Arial" w:cs="Arial"/>
          <w:sz w:val="22"/>
          <w:szCs w:val="22"/>
        </w:rPr>
      </w:pPr>
    </w:p>
    <w:p w:rsidR="00BA6377" w:rsidRDefault="00BA6377" w:rsidP="00C23E81">
      <w:pPr>
        <w:ind w:left="720" w:hanging="720"/>
        <w:jc w:val="both"/>
        <w:rPr>
          <w:rFonts w:ascii="Arial" w:hAnsi="Arial" w:cs="Arial"/>
          <w:sz w:val="22"/>
          <w:szCs w:val="22"/>
        </w:rPr>
      </w:pPr>
      <w:r>
        <w:rPr>
          <w:rFonts w:ascii="Arial" w:hAnsi="Arial" w:cs="Arial"/>
          <w:sz w:val="22"/>
          <w:szCs w:val="22"/>
        </w:rPr>
        <w:tab/>
        <w:t xml:space="preserve">We are expecting the schools to have undertaken more capital works over the summer, when we receive notification from the schools this could potentially change the above position significantly. </w:t>
      </w:r>
    </w:p>
    <w:p w:rsidR="00BA6377" w:rsidRDefault="00BA6377" w:rsidP="00C23E81">
      <w:pPr>
        <w:ind w:left="720" w:hanging="720"/>
        <w:jc w:val="both"/>
        <w:rPr>
          <w:rFonts w:ascii="Arial" w:hAnsi="Arial" w:cs="Arial"/>
          <w:sz w:val="22"/>
          <w:szCs w:val="22"/>
        </w:rPr>
      </w:pPr>
    </w:p>
    <w:p w:rsidR="00BA6377" w:rsidRDefault="00BA6377" w:rsidP="00593F28">
      <w:pPr>
        <w:pStyle w:val="Heading1"/>
        <w:spacing w:before="0"/>
        <w:ind w:left="720" w:hanging="720"/>
      </w:pPr>
      <w:r>
        <w:t>3.3</w:t>
      </w:r>
      <w:r>
        <w:tab/>
        <w:t xml:space="preserve">For the above schools it </w:t>
      </w:r>
      <w:proofErr w:type="gramStart"/>
      <w:r>
        <w:t>was agreed</w:t>
      </w:r>
      <w:proofErr w:type="gramEnd"/>
      <w:r>
        <w:t xml:space="preserve"> they would return to the panel in the Autumn Term for a review on their progress in utilising the fund. The date for the panel </w:t>
      </w:r>
      <w:r w:rsidR="00F14DDB">
        <w:t>meeting will be in early November just after half term</w:t>
      </w:r>
    </w:p>
    <w:p w:rsidR="00083E3E" w:rsidRDefault="00083E3E" w:rsidP="00C23E81">
      <w:pPr>
        <w:ind w:left="720" w:hanging="720"/>
        <w:jc w:val="both"/>
        <w:rPr>
          <w:rFonts w:ascii="Arial" w:hAnsi="Arial" w:cs="Arial"/>
          <w:sz w:val="22"/>
          <w:szCs w:val="22"/>
        </w:rPr>
      </w:pPr>
    </w:p>
    <w:p w:rsidR="00083E3E" w:rsidRDefault="00083E3E" w:rsidP="00593F28">
      <w:pPr>
        <w:pStyle w:val="Heading1"/>
        <w:spacing w:before="0"/>
      </w:pPr>
      <w:r>
        <w:t xml:space="preserve">3.4 </w:t>
      </w:r>
      <w:r>
        <w:tab/>
        <w:t xml:space="preserve">These schools </w:t>
      </w:r>
      <w:proofErr w:type="gramStart"/>
      <w:r>
        <w:t>have been excluded</w:t>
      </w:r>
      <w:proofErr w:type="gramEnd"/>
      <w:r>
        <w:t xml:space="preserve"> </w:t>
      </w:r>
      <w:r w:rsidR="00D323AE">
        <w:t>from</w:t>
      </w:r>
      <w:r>
        <w:t xml:space="preserve"> this year’s review of balances. </w:t>
      </w:r>
    </w:p>
    <w:p w:rsidR="00593F28" w:rsidRPr="00593F28" w:rsidRDefault="00593F28" w:rsidP="00593F28"/>
    <w:p w:rsidR="00261EA3" w:rsidRDefault="00261EA3" w:rsidP="00C23E81">
      <w:pPr>
        <w:jc w:val="both"/>
        <w:rPr>
          <w:rFonts w:ascii="Arial" w:hAnsi="Arial" w:cs="Arial"/>
          <w:sz w:val="22"/>
          <w:szCs w:val="22"/>
        </w:rPr>
      </w:pPr>
    </w:p>
    <w:p w:rsidR="00261EA3" w:rsidRPr="00593F28" w:rsidRDefault="00430A08" w:rsidP="00593F28">
      <w:pPr>
        <w:pStyle w:val="Heading1"/>
        <w:spacing w:before="0"/>
        <w:rPr>
          <w:b/>
        </w:rPr>
      </w:pPr>
      <w:r w:rsidRPr="00593F28">
        <w:rPr>
          <w:b/>
        </w:rPr>
        <w:t>4</w:t>
      </w:r>
      <w:r w:rsidRPr="00593F28">
        <w:rPr>
          <w:b/>
        </w:rPr>
        <w:tab/>
      </w:r>
      <w:r w:rsidR="00261EA3" w:rsidRPr="00593F28">
        <w:rPr>
          <w:b/>
        </w:rPr>
        <w:t>Process adopted</w:t>
      </w:r>
    </w:p>
    <w:p w:rsidR="00261EA3" w:rsidRDefault="00261EA3" w:rsidP="00C23E81">
      <w:pPr>
        <w:jc w:val="both"/>
        <w:rPr>
          <w:rFonts w:ascii="Arial" w:hAnsi="Arial" w:cs="Arial"/>
          <w:sz w:val="22"/>
          <w:szCs w:val="22"/>
        </w:rPr>
      </w:pPr>
    </w:p>
    <w:p w:rsidR="00261EA3" w:rsidRDefault="00430A08" w:rsidP="00593F28">
      <w:pPr>
        <w:pStyle w:val="Heading1"/>
        <w:spacing w:before="0"/>
        <w:ind w:left="720" w:hanging="720"/>
      </w:pPr>
      <w:r>
        <w:t>4.1</w:t>
      </w:r>
      <w:r>
        <w:tab/>
      </w:r>
      <w:r w:rsidR="00D0283D">
        <w:t xml:space="preserve">The school returns </w:t>
      </w:r>
      <w:r w:rsidR="00EB7880">
        <w:t xml:space="preserve">explaining why the school has </w:t>
      </w:r>
      <w:r w:rsidR="00261EA3">
        <w:t>exceed</w:t>
      </w:r>
      <w:r w:rsidR="00EB7880">
        <w:t xml:space="preserve">ed </w:t>
      </w:r>
      <w:r w:rsidR="00261EA3">
        <w:t xml:space="preserve">the relevant </w:t>
      </w:r>
      <w:r w:rsidR="00EB7880">
        <w:t xml:space="preserve">capping </w:t>
      </w:r>
      <w:r w:rsidR="00261EA3">
        <w:t>percentage have been analysed.</w:t>
      </w:r>
      <w:r w:rsidR="00EB7880">
        <w:t xml:space="preserve"> </w:t>
      </w:r>
      <w:r w:rsidR="001817F9" w:rsidRPr="001817F9">
        <w:t xml:space="preserve">Excess balances of below £20k </w:t>
      </w:r>
      <w:proofErr w:type="gramStart"/>
      <w:r w:rsidR="001817F9" w:rsidRPr="001817F9">
        <w:t>are excluded</w:t>
      </w:r>
      <w:proofErr w:type="gramEnd"/>
      <w:r w:rsidR="001817F9" w:rsidRPr="001817F9">
        <w:t xml:space="preserve"> from the review list as are schools forecasting to spend their excess balances by the end of the current financial year, those that have reduced their excess balance in both of the last two financial years and those that are forecasting deficits. The remaining schools plus any with two years of increasing excess balances and those with more than 50% of their planned excess balance </w:t>
      </w:r>
      <w:proofErr w:type="gramStart"/>
      <w:r w:rsidR="001817F9" w:rsidRPr="001817F9">
        <w:t>spend</w:t>
      </w:r>
      <w:proofErr w:type="gramEnd"/>
      <w:r w:rsidR="001817F9" w:rsidRPr="001817F9">
        <w:t xml:space="preserve"> after the end of the current financial year form the review list.</w:t>
      </w:r>
    </w:p>
    <w:p w:rsidR="00D0283D" w:rsidRDefault="00D0283D" w:rsidP="00C23E81">
      <w:pPr>
        <w:jc w:val="both"/>
        <w:rPr>
          <w:rFonts w:ascii="Arial" w:hAnsi="Arial" w:cs="Arial"/>
          <w:sz w:val="22"/>
          <w:szCs w:val="22"/>
        </w:rPr>
      </w:pPr>
    </w:p>
    <w:p w:rsidR="00D0283D" w:rsidRDefault="00430A08" w:rsidP="00593F28">
      <w:pPr>
        <w:pStyle w:val="Heading1"/>
        <w:spacing w:before="0"/>
        <w:ind w:left="720" w:hanging="720"/>
      </w:pPr>
      <w:r>
        <w:t>4.2</w:t>
      </w:r>
      <w:r>
        <w:tab/>
      </w:r>
      <w:r w:rsidR="00D0283D">
        <w:t xml:space="preserve">This has left </w:t>
      </w:r>
      <w:r w:rsidR="001817F9">
        <w:t>6</w:t>
      </w:r>
      <w:r w:rsidR="00D0283D">
        <w:t xml:space="preserve"> schools</w:t>
      </w:r>
      <w:r w:rsidR="00D95752">
        <w:t xml:space="preserve"> </w:t>
      </w:r>
      <w:r w:rsidR="00D95752" w:rsidRPr="00C00EAB">
        <w:t>where</w:t>
      </w:r>
      <w:r w:rsidR="00C54BCD" w:rsidRPr="00C00EAB">
        <w:t xml:space="preserve"> </w:t>
      </w:r>
      <w:r w:rsidR="00D0283D" w:rsidRPr="00C00EAB">
        <w:t>a more detailed analysis, looking at the trends in pupil numbers and both the in-year balances and the accumulated b</w:t>
      </w:r>
      <w:r w:rsidR="00C54BCD" w:rsidRPr="00C00EAB">
        <w:t>alance over the past few years</w:t>
      </w:r>
      <w:r w:rsidR="00D95752" w:rsidRPr="00C00EAB">
        <w:t>,</w:t>
      </w:r>
      <w:r w:rsidR="00C54BCD" w:rsidRPr="00C00EAB">
        <w:t xml:space="preserve"> has been undertaken.</w:t>
      </w:r>
    </w:p>
    <w:p w:rsidR="00D0283D" w:rsidRDefault="00D0283D" w:rsidP="00C23E81">
      <w:pPr>
        <w:jc w:val="both"/>
        <w:rPr>
          <w:rFonts w:ascii="Arial" w:hAnsi="Arial" w:cs="Arial"/>
          <w:sz w:val="22"/>
          <w:szCs w:val="22"/>
        </w:rPr>
      </w:pPr>
    </w:p>
    <w:p w:rsidR="00D0283D" w:rsidRDefault="00430A08" w:rsidP="00593F28">
      <w:pPr>
        <w:pStyle w:val="Heading1"/>
        <w:spacing w:before="0"/>
        <w:ind w:left="720" w:hanging="720"/>
      </w:pPr>
      <w:proofErr w:type="gramStart"/>
      <w:r>
        <w:t>4.3</w:t>
      </w:r>
      <w:r>
        <w:tab/>
      </w:r>
      <w:r w:rsidR="00D0283D">
        <w:t>There are some schools that have set aside money for capital projects</w:t>
      </w:r>
      <w:proofErr w:type="gramEnd"/>
      <w:r w:rsidR="00C54BCD">
        <w:t xml:space="preserve">. In </w:t>
      </w:r>
      <w:r w:rsidR="00D0283D">
        <w:t xml:space="preserve">the </w:t>
      </w:r>
      <w:proofErr w:type="gramStart"/>
      <w:r w:rsidR="00D0283D">
        <w:t>past</w:t>
      </w:r>
      <w:proofErr w:type="gramEnd"/>
      <w:r w:rsidR="00D0283D">
        <w:t xml:space="preserve"> we have seen this happen only for the school not to undertake the capital works. To avoid this</w:t>
      </w:r>
      <w:r w:rsidR="00D95752">
        <w:t>,</w:t>
      </w:r>
      <w:r w:rsidR="00D0283D">
        <w:t xml:space="preserve"> it </w:t>
      </w:r>
      <w:proofErr w:type="gramStart"/>
      <w:r w:rsidR="00D0283D">
        <w:t>is suggest</w:t>
      </w:r>
      <w:r w:rsidR="00D95752">
        <w:t>ed</w:t>
      </w:r>
      <w:proofErr w:type="gramEnd"/>
      <w:r w:rsidR="00D0283D">
        <w:t xml:space="preserve"> capping the</w:t>
      </w:r>
      <w:r>
        <w:t>se</w:t>
      </w:r>
      <w:r w:rsidR="00D0283D">
        <w:t xml:space="preserve"> schools and putting the funds aside in a trust like account that only the school can draw down. </w:t>
      </w:r>
    </w:p>
    <w:p w:rsidR="00D0283D" w:rsidRDefault="00D0283D" w:rsidP="00C23E81">
      <w:pPr>
        <w:jc w:val="both"/>
        <w:rPr>
          <w:rFonts w:ascii="Arial" w:hAnsi="Arial" w:cs="Arial"/>
          <w:sz w:val="22"/>
          <w:szCs w:val="22"/>
        </w:rPr>
      </w:pPr>
    </w:p>
    <w:p w:rsidR="00D0283D" w:rsidRDefault="00D657E9" w:rsidP="00593F28">
      <w:pPr>
        <w:pStyle w:val="Heading1"/>
        <w:spacing w:before="0"/>
        <w:ind w:left="720" w:hanging="720"/>
      </w:pPr>
      <w:r>
        <w:t>4.4</w:t>
      </w:r>
      <w:r>
        <w:tab/>
      </w:r>
      <w:r w:rsidR="00D0283D">
        <w:t xml:space="preserve">Some schools clearly need the excess balance, for reducing rolls or tight budget situations, these schools </w:t>
      </w:r>
      <w:proofErr w:type="gramStart"/>
      <w:r w:rsidR="00D0283D">
        <w:t>are suggested</w:t>
      </w:r>
      <w:proofErr w:type="gramEnd"/>
      <w:r w:rsidR="00D0283D">
        <w:t xml:space="preserve"> in the recommendation</w:t>
      </w:r>
      <w:r>
        <w:t>s below in 4.5</w:t>
      </w:r>
      <w:r w:rsidR="00D0283D">
        <w:t xml:space="preserve"> not to be capped. </w:t>
      </w:r>
    </w:p>
    <w:p w:rsidR="00D0283D" w:rsidRDefault="00D0283D" w:rsidP="00C23E81">
      <w:pPr>
        <w:jc w:val="both"/>
        <w:rPr>
          <w:rFonts w:ascii="Arial" w:hAnsi="Arial" w:cs="Arial"/>
          <w:sz w:val="22"/>
          <w:szCs w:val="22"/>
        </w:rPr>
      </w:pPr>
    </w:p>
    <w:p w:rsidR="0040268B" w:rsidRDefault="00D657E9" w:rsidP="00593F28">
      <w:pPr>
        <w:pStyle w:val="Heading1"/>
        <w:spacing w:before="0"/>
        <w:ind w:left="720" w:hanging="720"/>
      </w:pPr>
      <w:r>
        <w:t>4.5</w:t>
      </w:r>
      <w:r>
        <w:tab/>
      </w:r>
      <w:r w:rsidR="00D0283D">
        <w:t xml:space="preserve">Some schools have been recommended to be capped and the decision shown in the </w:t>
      </w:r>
      <w:r>
        <w:t>table below with the more detailed analysis i</w:t>
      </w:r>
      <w:r w:rsidR="0019109E">
        <w:t>n</w:t>
      </w:r>
      <w:r>
        <w:t xml:space="preserve"> the Appendix</w:t>
      </w:r>
      <w:r w:rsidR="00D95752">
        <w:t>.</w:t>
      </w:r>
    </w:p>
    <w:p w:rsidR="0040268B" w:rsidRDefault="0040268B" w:rsidP="00C23E81">
      <w:pPr>
        <w:jc w:val="both"/>
        <w:rPr>
          <w:rFonts w:ascii="Arial" w:hAnsi="Arial" w:cs="Arial"/>
          <w:sz w:val="22"/>
          <w:szCs w:val="22"/>
        </w:rPr>
      </w:pPr>
    </w:p>
    <w:tbl>
      <w:tblPr>
        <w:tblW w:w="10148" w:type="dxa"/>
        <w:tblInd w:w="108" w:type="dxa"/>
        <w:tblLook w:val="04A0" w:firstRow="1" w:lastRow="0" w:firstColumn="1" w:lastColumn="0" w:noHBand="0" w:noVBand="1"/>
        <w:tblCaption w:val="Schools recommended to be capped."/>
        <w:tblDescription w:val="This table shows the schools that have been recommended to be capped."/>
      </w:tblPr>
      <w:tblGrid>
        <w:gridCol w:w="1487"/>
        <w:gridCol w:w="1168"/>
        <w:gridCol w:w="1093"/>
        <w:gridCol w:w="1163"/>
        <w:gridCol w:w="1163"/>
        <w:gridCol w:w="1154"/>
        <w:gridCol w:w="1784"/>
        <w:gridCol w:w="1136"/>
      </w:tblGrid>
      <w:tr w:rsidR="00F11FCD" w:rsidTr="002411E4">
        <w:trPr>
          <w:trHeight w:val="1000"/>
          <w:tblHeader/>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FCD" w:rsidRPr="001817F9" w:rsidRDefault="00F11FCD">
            <w:pPr>
              <w:jc w:val="center"/>
              <w:rPr>
                <w:rFonts w:ascii="Arial" w:hAnsi="Arial" w:cs="Arial"/>
                <w:color w:val="FF0000"/>
                <w:sz w:val="20"/>
                <w:szCs w:val="20"/>
                <w:lang w:eastAsia="en-GB"/>
              </w:rPr>
            </w:pPr>
            <w:r w:rsidRPr="001817F9">
              <w:rPr>
                <w:rFonts w:ascii="Arial" w:hAnsi="Arial" w:cs="Arial"/>
                <w:color w:val="FF0000"/>
                <w:sz w:val="20"/>
                <w:szCs w:val="20"/>
              </w:rPr>
              <w:t>School</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F11FCD" w:rsidRPr="001817F9" w:rsidRDefault="00F11FCD">
            <w:pPr>
              <w:jc w:val="center"/>
              <w:rPr>
                <w:rFonts w:ascii="Arial" w:hAnsi="Arial" w:cs="Arial"/>
                <w:color w:val="FF0000"/>
                <w:sz w:val="20"/>
                <w:szCs w:val="20"/>
              </w:rPr>
            </w:pPr>
            <w:r w:rsidRPr="001817F9">
              <w:rPr>
                <w:rFonts w:ascii="Arial" w:hAnsi="Arial" w:cs="Arial"/>
                <w:color w:val="FF0000"/>
                <w:sz w:val="20"/>
                <w:szCs w:val="20"/>
              </w:rPr>
              <w:t>Sector</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11FCD" w:rsidRPr="001817F9" w:rsidRDefault="00F11FCD">
            <w:pPr>
              <w:jc w:val="center"/>
              <w:rPr>
                <w:rFonts w:ascii="Arial" w:hAnsi="Arial" w:cs="Arial"/>
                <w:color w:val="FF0000"/>
                <w:sz w:val="20"/>
                <w:szCs w:val="20"/>
              </w:rPr>
            </w:pPr>
            <w:r w:rsidRPr="001817F9">
              <w:rPr>
                <w:rFonts w:ascii="Arial" w:hAnsi="Arial" w:cs="Arial"/>
                <w:color w:val="FF0000"/>
                <w:sz w:val="20"/>
                <w:szCs w:val="20"/>
              </w:rPr>
              <w:t>Cap %</w:t>
            </w:r>
            <w:r w:rsidR="001817F9">
              <w:rPr>
                <w:rFonts w:ascii="Arial" w:hAnsi="Arial" w:cs="Arial"/>
                <w:color w:val="FF0000"/>
                <w:sz w:val="20"/>
                <w:szCs w:val="20"/>
              </w:rPr>
              <w:tab/>
            </w:r>
          </w:p>
        </w:tc>
        <w:tc>
          <w:tcPr>
            <w:tcW w:w="1163" w:type="dxa"/>
            <w:tcBorders>
              <w:top w:val="single" w:sz="4" w:space="0" w:color="auto"/>
              <w:left w:val="nil"/>
              <w:bottom w:val="single" w:sz="4" w:space="0" w:color="auto"/>
              <w:right w:val="single" w:sz="4" w:space="0" w:color="auto"/>
            </w:tcBorders>
            <w:shd w:val="clear" w:color="000000" w:fill="92D050"/>
            <w:vAlign w:val="center"/>
            <w:hideMark/>
          </w:tcPr>
          <w:p w:rsidR="00F11FCD" w:rsidRPr="001817F9" w:rsidRDefault="00F11FCD">
            <w:pPr>
              <w:jc w:val="center"/>
              <w:rPr>
                <w:rFonts w:ascii="Arial" w:hAnsi="Arial" w:cs="Arial"/>
                <w:sz w:val="20"/>
                <w:szCs w:val="20"/>
              </w:rPr>
            </w:pPr>
            <w:r w:rsidRPr="001817F9">
              <w:rPr>
                <w:rFonts w:ascii="Arial" w:hAnsi="Arial" w:cs="Arial"/>
                <w:sz w:val="20"/>
                <w:szCs w:val="20"/>
              </w:rPr>
              <w:t>Old Year Balances for BCM purposes</w:t>
            </w:r>
          </w:p>
          <w:p w:rsidR="005B0E7C" w:rsidRPr="001817F9" w:rsidRDefault="005B0E7C">
            <w:pPr>
              <w:jc w:val="center"/>
              <w:rPr>
                <w:rFonts w:ascii="Arial" w:hAnsi="Arial" w:cs="Arial"/>
                <w:sz w:val="20"/>
                <w:szCs w:val="20"/>
              </w:rPr>
            </w:pPr>
            <w:r w:rsidRPr="001817F9">
              <w:rPr>
                <w:rFonts w:ascii="Arial" w:hAnsi="Arial" w:cs="Arial"/>
                <w:sz w:val="20"/>
                <w:szCs w:val="20"/>
              </w:rPr>
              <w:t>£'000</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F11FCD" w:rsidRPr="001817F9" w:rsidRDefault="00F11FCD">
            <w:pPr>
              <w:jc w:val="center"/>
              <w:rPr>
                <w:rFonts w:ascii="Arial" w:hAnsi="Arial" w:cs="Arial"/>
                <w:color w:val="FF0000"/>
                <w:sz w:val="20"/>
                <w:szCs w:val="20"/>
              </w:rPr>
            </w:pPr>
            <w:r w:rsidRPr="001817F9">
              <w:rPr>
                <w:rFonts w:ascii="Arial" w:hAnsi="Arial" w:cs="Arial"/>
                <w:color w:val="FF0000"/>
                <w:sz w:val="20"/>
                <w:szCs w:val="20"/>
              </w:rPr>
              <w:t>Old Year Threshold for BCM purposes</w:t>
            </w:r>
          </w:p>
          <w:p w:rsidR="005B0E7C" w:rsidRPr="001817F9" w:rsidRDefault="005B0E7C">
            <w:pPr>
              <w:jc w:val="center"/>
              <w:rPr>
                <w:rFonts w:ascii="Arial" w:hAnsi="Arial" w:cs="Arial"/>
                <w:color w:val="FF0000"/>
                <w:sz w:val="20"/>
                <w:szCs w:val="20"/>
              </w:rPr>
            </w:pPr>
            <w:r w:rsidRPr="001817F9">
              <w:rPr>
                <w:rFonts w:ascii="Arial" w:hAnsi="Arial" w:cs="Arial"/>
                <w:color w:val="FF0000"/>
                <w:sz w:val="20"/>
                <w:szCs w:val="20"/>
              </w:rPr>
              <w:t>£'000</w:t>
            </w:r>
          </w:p>
        </w:tc>
        <w:tc>
          <w:tcPr>
            <w:tcW w:w="1154" w:type="dxa"/>
            <w:tcBorders>
              <w:top w:val="single" w:sz="4" w:space="0" w:color="auto"/>
              <w:left w:val="nil"/>
              <w:bottom w:val="single" w:sz="4" w:space="0" w:color="auto"/>
              <w:right w:val="single" w:sz="4" w:space="0" w:color="auto"/>
            </w:tcBorders>
            <w:shd w:val="clear" w:color="000000" w:fill="FFC000"/>
            <w:vAlign w:val="center"/>
            <w:hideMark/>
          </w:tcPr>
          <w:p w:rsidR="00F11FCD" w:rsidRPr="001817F9" w:rsidRDefault="00F11FCD">
            <w:pPr>
              <w:jc w:val="center"/>
              <w:rPr>
                <w:rFonts w:ascii="Arial" w:hAnsi="Arial" w:cs="Arial"/>
                <w:sz w:val="20"/>
                <w:szCs w:val="20"/>
              </w:rPr>
            </w:pPr>
            <w:r w:rsidRPr="001817F9">
              <w:rPr>
                <w:rFonts w:ascii="Arial" w:hAnsi="Arial" w:cs="Arial"/>
                <w:sz w:val="20"/>
                <w:szCs w:val="20"/>
              </w:rPr>
              <w:t>Old Year Excess Balances</w:t>
            </w:r>
          </w:p>
          <w:p w:rsidR="005B0E7C" w:rsidRPr="001817F9" w:rsidRDefault="005B0E7C">
            <w:pPr>
              <w:jc w:val="center"/>
              <w:rPr>
                <w:rFonts w:ascii="Arial" w:hAnsi="Arial" w:cs="Arial"/>
                <w:sz w:val="20"/>
                <w:szCs w:val="20"/>
              </w:rPr>
            </w:pPr>
            <w:r w:rsidRPr="001817F9">
              <w:rPr>
                <w:rFonts w:ascii="Arial" w:hAnsi="Arial" w:cs="Arial"/>
                <w:sz w:val="20"/>
                <w:szCs w:val="20"/>
              </w:rPr>
              <w:t>£'000</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F11FCD" w:rsidRPr="001817F9" w:rsidRDefault="00F11FCD">
            <w:pPr>
              <w:jc w:val="center"/>
              <w:rPr>
                <w:rFonts w:ascii="Arial" w:hAnsi="Arial" w:cs="Arial"/>
                <w:color w:val="FF0000"/>
                <w:sz w:val="20"/>
                <w:szCs w:val="20"/>
              </w:rPr>
            </w:pPr>
            <w:r w:rsidRPr="001817F9">
              <w:rPr>
                <w:rFonts w:ascii="Arial" w:hAnsi="Arial" w:cs="Arial"/>
                <w:color w:val="FF0000"/>
                <w:sz w:val="20"/>
                <w:szCs w:val="20"/>
              </w:rPr>
              <w:t xml:space="preserve">Recommendation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F11FCD" w:rsidRPr="001817F9" w:rsidRDefault="00F11FCD">
            <w:pPr>
              <w:jc w:val="center"/>
              <w:rPr>
                <w:rFonts w:ascii="Arial" w:hAnsi="Arial" w:cs="Arial"/>
                <w:color w:val="FF0000"/>
                <w:sz w:val="20"/>
                <w:szCs w:val="20"/>
              </w:rPr>
            </w:pPr>
            <w:r w:rsidRPr="001817F9">
              <w:rPr>
                <w:rFonts w:ascii="Arial" w:hAnsi="Arial" w:cs="Arial"/>
                <w:color w:val="FF0000"/>
                <w:sz w:val="20"/>
                <w:szCs w:val="20"/>
              </w:rPr>
              <w:t>Amount £'000</w:t>
            </w:r>
          </w:p>
        </w:tc>
      </w:tr>
      <w:tr w:rsidR="00F14DDB" w:rsidTr="00EB7AFC">
        <w:trPr>
          <w:trHeight w:val="310"/>
        </w:trPr>
        <w:tc>
          <w:tcPr>
            <w:tcW w:w="1487" w:type="dxa"/>
            <w:tcBorders>
              <w:top w:val="single" w:sz="4" w:space="0" w:color="auto"/>
              <w:left w:val="single" w:sz="4" w:space="0" w:color="auto"/>
              <w:bottom w:val="single" w:sz="4" w:space="0" w:color="auto"/>
              <w:right w:val="single" w:sz="4" w:space="0" w:color="auto"/>
            </w:tcBorders>
            <w:shd w:val="clear" w:color="auto" w:fill="auto"/>
            <w:noWrap/>
            <w:hideMark/>
          </w:tcPr>
          <w:p w:rsidR="00F14DDB" w:rsidRPr="00EB7AFC" w:rsidRDefault="00F14DDB" w:rsidP="00EB7AFC">
            <w:pPr>
              <w:jc w:val="center"/>
              <w:rPr>
                <w:rFonts w:ascii="Arial" w:hAnsi="Arial" w:cs="Arial"/>
                <w:color w:val="000000"/>
                <w:sz w:val="20"/>
                <w:szCs w:val="20"/>
              </w:rPr>
            </w:pPr>
            <w:r w:rsidRPr="00EB7AFC">
              <w:rPr>
                <w:rFonts w:ascii="Arial" w:hAnsi="Arial" w:cs="Arial"/>
                <w:sz w:val="20"/>
                <w:szCs w:val="20"/>
              </w:rPr>
              <w:t>A</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Special</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8%</w:t>
            </w:r>
          </w:p>
        </w:tc>
        <w:tc>
          <w:tcPr>
            <w:tcW w:w="1163" w:type="dxa"/>
            <w:tcBorders>
              <w:top w:val="single" w:sz="4" w:space="0" w:color="auto"/>
              <w:left w:val="single" w:sz="4" w:space="0" w:color="auto"/>
              <w:bottom w:val="single" w:sz="4" w:space="0" w:color="auto"/>
              <w:right w:val="single" w:sz="4" w:space="0" w:color="auto"/>
            </w:tcBorders>
            <w:shd w:val="clear" w:color="000000" w:fill="92D05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568</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231</w:t>
            </w:r>
          </w:p>
        </w:tc>
        <w:tc>
          <w:tcPr>
            <w:tcW w:w="1154" w:type="dxa"/>
            <w:tcBorders>
              <w:top w:val="single" w:sz="4" w:space="0" w:color="auto"/>
              <w:left w:val="single" w:sz="4" w:space="0" w:color="auto"/>
              <w:bottom w:val="single" w:sz="4" w:space="0" w:color="auto"/>
              <w:right w:val="single" w:sz="4" w:space="0" w:color="auto"/>
            </w:tcBorders>
            <w:shd w:val="clear" w:color="000000" w:fill="FFC00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337</w:t>
            </w:r>
          </w:p>
        </w:tc>
        <w:tc>
          <w:tcPr>
            <w:tcW w:w="1784"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center"/>
              <w:rPr>
                <w:rFonts w:ascii="Arial" w:hAnsi="Arial" w:cs="Arial"/>
                <w:sz w:val="20"/>
                <w:szCs w:val="20"/>
                <w:highlight w:val="yellow"/>
              </w:rPr>
            </w:pPr>
            <w:r w:rsidRPr="00EB7AFC">
              <w:rPr>
                <w:rFonts w:ascii="Arial" w:hAnsi="Arial" w:cs="Arial"/>
                <w:sz w:val="20"/>
                <w:szCs w:val="20"/>
              </w:rPr>
              <w:t>“Trust“</w:t>
            </w:r>
          </w:p>
        </w:tc>
        <w:tc>
          <w:tcPr>
            <w:tcW w:w="1136"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337</w:t>
            </w:r>
          </w:p>
        </w:tc>
      </w:tr>
      <w:tr w:rsidR="00F14DDB" w:rsidTr="00EB7AFC">
        <w:trPr>
          <w:trHeight w:val="310"/>
        </w:trPr>
        <w:tc>
          <w:tcPr>
            <w:tcW w:w="1487" w:type="dxa"/>
            <w:tcBorders>
              <w:top w:val="single" w:sz="4" w:space="0" w:color="auto"/>
              <w:left w:val="single" w:sz="4" w:space="0" w:color="auto"/>
              <w:bottom w:val="single" w:sz="4" w:space="0" w:color="auto"/>
              <w:right w:val="single" w:sz="4" w:space="0" w:color="auto"/>
            </w:tcBorders>
            <w:shd w:val="clear" w:color="auto" w:fill="auto"/>
            <w:noWrap/>
            <w:hideMark/>
          </w:tcPr>
          <w:p w:rsidR="00F14DDB" w:rsidRPr="00EB7AFC" w:rsidRDefault="00F14DDB" w:rsidP="00EB7AFC">
            <w:pPr>
              <w:jc w:val="center"/>
              <w:rPr>
                <w:rFonts w:ascii="Arial" w:hAnsi="Arial" w:cs="Arial"/>
                <w:color w:val="000000"/>
                <w:sz w:val="20"/>
                <w:szCs w:val="20"/>
              </w:rPr>
            </w:pPr>
            <w:r w:rsidRPr="00EB7AFC">
              <w:rPr>
                <w:rFonts w:ascii="Arial" w:hAnsi="Arial" w:cs="Arial"/>
                <w:sz w:val="20"/>
                <w:szCs w:val="20"/>
              </w:rPr>
              <w:t>B</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Special</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8%</w:t>
            </w:r>
          </w:p>
        </w:tc>
        <w:tc>
          <w:tcPr>
            <w:tcW w:w="1163" w:type="dxa"/>
            <w:tcBorders>
              <w:top w:val="single" w:sz="4" w:space="0" w:color="auto"/>
              <w:left w:val="single" w:sz="4" w:space="0" w:color="auto"/>
              <w:bottom w:val="single" w:sz="4" w:space="0" w:color="auto"/>
              <w:right w:val="single" w:sz="4" w:space="0" w:color="auto"/>
            </w:tcBorders>
            <w:shd w:val="clear" w:color="000000" w:fill="92D05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621</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235</w:t>
            </w:r>
          </w:p>
        </w:tc>
        <w:tc>
          <w:tcPr>
            <w:tcW w:w="1154" w:type="dxa"/>
            <w:tcBorders>
              <w:top w:val="single" w:sz="4" w:space="0" w:color="auto"/>
              <w:left w:val="single" w:sz="4" w:space="0" w:color="auto"/>
              <w:bottom w:val="single" w:sz="4" w:space="0" w:color="auto"/>
              <w:right w:val="single" w:sz="4" w:space="0" w:color="auto"/>
            </w:tcBorders>
            <w:shd w:val="clear" w:color="000000" w:fill="FFC00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386</w:t>
            </w:r>
          </w:p>
        </w:tc>
        <w:tc>
          <w:tcPr>
            <w:tcW w:w="1784"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center"/>
              <w:rPr>
                <w:rFonts w:ascii="Arial" w:hAnsi="Arial" w:cs="Arial"/>
                <w:sz w:val="20"/>
                <w:szCs w:val="20"/>
              </w:rPr>
            </w:pPr>
            <w:r w:rsidRPr="00EB7AFC">
              <w:rPr>
                <w:rFonts w:ascii="Arial" w:hAnsi="Arial" w:cs="Arial"/>
                <w:sz w:val="20"/>
                <w:szCs w:val="20"/>
              </w:rPr>
              <w:t>“Trust“</w:t>
            </w:r>
          </w:p>
        </w:tc>
        <w:tc>
          <w:tcPr>
            <w:tcW w:w="1136"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386</w:t>
            </w:r>
          </w:p>
        </w:tc>
      </w:tr>
      <w:tr w:rsidR="00F14DDB" w:rsidTr="00EB7AFC">
        <w:trPr>
          <w:trHeight w:val="310"/>
        </w:trPr>
        <w:tc>
          <w:tcPr>
            <w:tcW w:w="1487" w:type="dxa"/>
            <w:tcBorders>
              <w:top w:val="single" w:sz="4" w:space="0" w:color="auto"/>
              <w:left w:val="single" w:sz="4" w:space="0" w:color="auto"/>
              <w:bottom w:val="single" w:sz="4" w:space="0" w:color="auto"/>
              <w:right w:val="single" w:sz="4" w:space="0" w:color="auto"/>
            </w:tcBorders>
            <w:shd w:val="clear" w:color="auto" w:fill="auto"/>
            <w:noWrap/>
            <w:hideMark/>
          </w:tcPr>
          <w:p w:rsidR="00F14DDB" w:rsidRPr="00EB7AFC" w:rsidRDefault="00F14DDB" w:rsidP="00EB7AFC">
            <w:pPr>
              <w:jc w:val="center"/>
              <w:rPr>
                <w:rFonts w:ascii="Arial" w:hAnsi="Arial" w:cs="Arial"/>
                <w:color w:val="000000"/>
                <w:sz w:val="20"/>
                <w:szCs w:val="20"/>
              </w:rPr>
            </w:pPr>
            <w:r w:rsidRPr="00EB7AFC">
              <w:rPr>
                <w:rFonts w:ascii="Arial" w:hAnsi="Arial" w:cs="Arial"/>
                <w:sz w:val="20"/>
                <w:szCs w:val="20"/>
              </w:rPr>
              <w:t>C</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Primary</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8%</w:t>
            </w:r>
          </w:p>
        </w:tc>
        <w:tc>
          <w:tcPr>
            <w:tcW w:w="1163" w:type="dxa"/>
            <w:tcBorders>
              <w:top w:val="single" w:sz="4" w:space="0" w:color="auto"/>
              <w:left w:val="single" w:sz="4" w:space="0" w:color="auto"/>
              <w:bottom w:val="single" w:sz="4" w:space="0" w:color="auto"/>
              <w:right w:val="single" w:sz="4" w:space="0" w:color="auto"/>
            </w:tcBorders>
            <w:shd w:val="clear" w:color="000000" w:fill="92D05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246</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112</w:t>
            </w:r>
          </w:p>
        </w:tc>
        <w:tc>
          <w:tcPr>
            <w:tcW w:w="1154" w:type="dxa"/>
            <w:tcBorders>
              <w:top w:val="single" w:sz="4" w:space="0" w:color="auto"/>
              <w:left w:val="single" w:sz="4" w:space="0" w:color="auto"/>
              <w:bottom w:val="single" w:sz="4" w:space="0" w:color="auto"/>
              <w:right w:val="single" w:sz="4" w:space="0" w:color="auto"/>
            </w:tcBorders>
            <w:shd w:val="clear" w:color="000000" w:fill="FFC00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134</w:t>
            </w:r>
          </w:p>
        </w:tc>
        <w:tc>
          <w:tcPr>
            <w:tcW w:w="1784"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center"/>
              <w:rPr>
                <w:rFonts w:ascii="Arial" w:hAnsi="Arial" w:cs="Arial"/>
                <w:sz w:val="20"/>
                <w:szCs w:val="20"/>
              </w:rPr>
            </w:pPr>
            <w:r w:rsidRPr="00EB7AFC">
              <w:rPr>
                <w:rFonts w:ascii="Arial" w:hAnsi="Arial" w:cs="Arial"/>
                <w:sz w:val="20"/>
                <w:szCs w:val="20"/>
              </w:rPr>
              <w:t>“Trust“</w:t>
            </w:r>
          </w:p>
        </w:tc>
        <w:tc>
          <w:tcPr>
            <w:tcW w:w="1136"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134</w:t>
            </w:r>
          </w:p>
        </w:tc>
      </w:tr>
      <w:tr w:rsidR="00F14DDB" w:rsidTr="00EB7AFC">
        <w:trPr>
          <w:trHeight w:val="310"/>
        </w:trPr>
        <w:tc>
          <w:tcPr>
            <w:tcW w:w="1487" w:type="dxa"/>
            <w:tcBorders>
              <w:top w:val="single" w:sz="4" w:space="0" w:color="auto"/>
              <w:left w:val="single" w:sz="4" w:space="0" w:color="auto"/>
              <w:bottom w:val="single" w:sz="4" w:space="0" w:color="auto"/>
              <w:right w:val="single" w:sz="4" w:space="0" w:color="auto"/>
            </w:tcBorders>
            <w:shd w:val="clear" w:color="auto" w:fill="auto"/>
            <w:noWrap/>
            <w:hideMark/>
          </w:tcPr>
          <w:p w:rsidR="00F14DDB" w:rsidRPr="00EB7AFC" w:rsidRDefault="00F14DDB" w:rsidP="00EB7AFC">
            <w:pPr>
              <w:jc w:val="center"/>
              <w:rPr>
                <w:rFonts w:ascii="Arial" w:hAnsi="Arial" w:cs="Arial"/>
                <w:color w:val="000000"/>
                <w:sz w:val="20"/>
                <w:szCs w:val="20"/>
              </w:rPr>
            </w:pPr>
            <w:r w:rsidRPr="00EB7AFC">
              <w:rPr>
                <w:rFonts w:ascii="Arial" w:hAnsi="Arial" w:cs="Arial"/>
                <w:sz w:val="20"/>
                <w:szCs w:val="20"/>
              </w:rPr>
              <w:t>D</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Primary</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8%</w:t>
            </w:r>
          </w:p>
        </w:tc>
        <w:tc>
          <w:tcPr>
            <w:tcW w:w="1163" w:type="dxa"/>
            <w:tcBorders>
              <w:top w:val="single" w:sz="4" w:space="0" w:color="auto"/>
              <w:left w:val="single" w:sz="4" w:space="0" w:color="auto"/>
              <w:bottom w:val="single" w:sz="4" w:space="0" w:color="auto"/>
              <w:right w:val="single" w:sz="4" w:space="0" w:color="auto"/>
            </w:tcBorders>
            <w:shd w:val="clear" w:color="000000" w:fill="92D05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2,080</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175</w:t>
            </w:r>
          </w:p>
        </w:tc>
        <w:tc>
          <w:tcPr>
            <w:tcW w:w="1154" w:type="dxa"/>
            <w:tcBorders>
              <w:top w:val="single" w:sz="4" w:space="0" w:color="auto"/>
              <w:left w:val="single" w:sz="4" w:space="0" w:color="auto"/>
              <w:bottom w:val="single" w:sz="4" w:space="0" w:color="auto"/>
              <w:right w:val="single" w:sz="4" w:space="0" w:color="auto"/>
            </w:tcBorders>
            <w:shd w:val="clear" w:color="000000" w:fill="FFC00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1,905</w:t>
            </w:r>
          </w:p>
        </w:tc>
        <w:tc>
          <w:tcPr>
            <w:tcW w:w="1784"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center"/>
              <w:rPr>
                <w:rFonts w:ascii="Arial" w:hAnsi="Arial" w:cs="Arial"/>
                <w:sz w:val="20"/>
                <w:szCs w:val="20"/>
              </w:rPr>
            </w:pPr>
            <w:r w:rsidRPr="00EB7AFC">
              <w:rPr>
                <w:rFonts w:ascii="Arial" w:hAnsi="Arial" w:cs="Arial"/>
                <w:sz w:val="20"/>
                <w:szCs w:val="20"/>
              </w:rPr>
              <w:t>“Trust“</w:t>
            </w:r>
          </w:p>
        </w:tc>
        <w:tc>
          <w:tcPr>
            <w:tcW w:w="1136"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1,905</w:t>
            </w:r>
          </w:p>
        </w:tc>
      </w:tr>
      <w:tr w:rsidR="00F14DDB" w:rsidTr="00EB7AFC">
        <w:trPr>
          <w:trHeight w:val="310"/>
        </w:trPr>
        <w:tc>
          <w:tcPr>
            <w:tcW w:w="1487" w:type="dxa"/>
            <w:tcBorders>
              <w:top w:val="single" w:sz="4" w:space="0" w:color="auto"/>
              <w:left w:val="single" w:sz="4" w:space="0" w:color="auto"/>
              <w:bottom w:val="single" w:sz="4" w:space="0" w:color="auto"/>
              <w:right w:val="single" w:sz="4" w:space="0" w:color="auto"/>
            </w:tcBorders>
            <w:shd w:val="clear" w:color="auto" w:fill="auto"/>
            <w:noWrap/>
            <w:hideMark/>
          </w:tcPr>
          <w:p w:rsidR="00F14DDB" w:rsidRPr="00EB7AFC" w:rsidRDefault="00F14DDB" w:rsidP="00EB7AFC">
            <w:pPr>
              <w:jc w:val="center"/>
              <w:rPr>
                <w:rFonts w:ascii="Arial" w:hAnsi="Arial" w:cs="Arial"/>
                <w:color w:val="000000"/>
                <w:sz w:val="20"/>
                <w:szCs w:val="20"/>
              </w:rPr>
            </w:pPr>
            <w:r w:rsidRPr="00EB7AFC">
              <w:rPr>
                <w:rFonts w:ascii="Arial" w:hAnsi="Arial" w:cs="Arial"/>
                <w:sz w:val="20"/>
                <w:szCs w:val="20"/>
              </w:rPr>
              <w:t>E</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Primary</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8%</w:t>
            </w:r>
          </w:p>
        </w:tc>
        <w:tc>
          <w:tcPr>
            <w:tcW w:w="1163" w:type="dxa"/>
            <w:tcBorders>
              <w:top w:val="single" w:sz="4" w:space="0" w:color="auto"/>
              <w:left w:val="single" w:sz="4" w:space="0" w:color="auto"/>
              <w:bottom w:val="single" w:sz="4" w:space="0" w:color="auto"/>
              <w:right w:val="single" w:sz="4" w:space="0" w:color="auto"/>
            </w:tcBorders>
            <w:shd w:val="clear" w:color="000000" w:fill="92D05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172</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87</w:t>
            </w:r>
          </w:p>
        </w:tc>
        <w:tc>
          <w:tcPr>
            <w:tcW w:w="1154" w:type="dxa"/>
            <w:tcBorders>
              <w:top w:val="single" w:sz="4" w:space="0" w:color="auto"/>
              <w:left w:val="single" w:sz="4" w:space="0" w:color="auto"/>
              <w:bottom w:val="single" w:sz="4" w:space="0" w:color="auto"/>
              <w:right w:val="single" w:sz="4" w:space="0" w:color="auto"/>
            </w:tcBorders>
            <w:shd w:val="clear" w:color="000000" w:fill="FFC00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85</w:t>
            </w:r>
          </w:p>
        </w:tc>
        <w:tc>
          <w:tcPr>
            <w:tcW w:w="1784"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center"/>
              <w:rPr>
                <w:rFonts w:ascii="Arial" w:hAnsi="Arial" w:cs="Arial"/>
                <w:sz w:val="20"/>
                <w:szCs w:val="20"/>
              </w:rPr>
            </w:pPr>
            <w:r w:rsidRPr="00EB7AFC">
              <w:rPr>
                <w:rFonts w:ascii="Arial" w:hAnsi="Arial" w:cs="Arial"/>
                <w:sz w:val="20"/>
                <w:szCs w:val="20"/>
              </w:rPr>
              <w:t>“Trust“</w:t>
            </w:r>
          </w:p>
        </w:tc>
        <w:tc>
          <w:tcPr>
            <w:tcW w:w="1136"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85</w:t>
            </w:r>
          </w:p>
        </w:tc>
      </w:tr>
      <w:tr w:rsidR="00F14DDB" w:rsidTr="00EB7AFC">
        <w:trPr>
          <w:trHeight w:val="310"/>
        </w:trPr>
        <w:tc>
          <w:tcPr>
            <w:tcW w:w="1487" w:type="dxa"/>
            <w:tcBorders>
              <w:top w:val="single" w:sz="4" w:space="0" w:color="auto"/>
              <w:left w:val="single" w:sz="4" w:space="0" w:color="auto"/>
              <w:bottom w:val="single" w:sz="4" w:space="0" w:color="auto"/>
              <w:right w:val="single" w:sz="4" w:space="0" w:color="auto"/>
            </w:tcBorders>
            <w:shd w:val="clear" w:color="auto" w:fill="auto"/>
            <w:noWrap/>
            <w:hideMark/>
          </w:tcPr>
          <w:p w:rsidR="00F14DDB" w:rsidRPr="00EB7AFC" w:rsidRDefault="00F14DDB" w:rsidP="00EB7AFC">
            <w:pPr>
              <w:jc w:val="center"/>
              <w:rPr>
                <w:rFonts w:ascii="Arial" w:hAnsi="Arial" w:cs="Arial"/>
                <w:color w:val="000000"/>
                <w:sz w:val="20"/>
                <w:szCs w:val="20"/>
              </w:rPr>
            </w:pPr>
            <w:r w:rsidRPr="00EB7AFC">
              <w:rPr>
                <w:rFonts w:ascii="Arial" w:hAnsi="Arial" w:cs="Arial"/>
                <w:sz w:val="20"/>
                <w:szCs w:val="20"/>
              </w:rPr>
              <w:t>F</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Primary</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center"/>
              <w:rPr>
                <w:rFonts w:ascii="Arial" w:hAnsi="Arial" w:cs="Arial"/>
                <w:color w:val="000000"/>
                <w:sz w:val="20"/>
                <w:szCs w:val="20"/>
              </w:rPr>
            </w:pPr>
            <w:r w:rsidRPr="00EB7AFC">
              <w:rPr>
                <w:rFonts w:ascii="Arial" w:hAnsi="Arial" w:cs="Arial"/>
                <w:sz w:val="20"/>
                <w:szCs w:val="20"/>
              </w:rPr>
              <w:t>8%</w:t>
            </w:r>
          </w:p>
        </w:tc>
        <w:tc>
          <w:tcPr>
            <w:tcW w:w="1163" w:type="dxa"/>
            <w:tcBorders>
              <w:top w:val="single" w:sz="4" w:space="0" w:color="auto"/>
              <w:left w:val="single" w:sz="4" w:space="0" w:color="auto"/>
              <w:bottom w:val="single" w:sz="4" w:space="0" w:color="auto"/>
              <w:right w:val="single" w:sz="4" w:space="0" w:color="auto"/>
            </w:tcBorders>
            <w:shd w:val="clear" w:color="000000" w:fill="92D05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356</w:t>
            </w:r>
          </w:p>
        </w:tc>
        <w:tc>
          <w:tcPr>
            <w:tcW w:w="1163" w:type="dxa"/>
            <w:tcBorders>
              <w:top w:val="single" w:sz="4" w:space="0" w:color="auto"/>
              <w:left w:val="single" w:sz="4" w:space="0" w:color="auto"/>
              <w:bottom w:val="single" w:sz="4" w:space="0" w:color="auto"/>
              <w:right w:val="single" w:sz="4" w:space="0" w:color="auto"/>
            </w:tcBorders>
            <w:shd w:val="clear" w:color="auto" w:fill="auto"/>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203</w:t>
            </w:r>
          </w:p>
        </w:tc>
        <w:tc>
          <w:tcPr>
            <w:tcW w:w="1154" w:type="dxa"/>
            <w:tcBorders>
              <w:top w:val="single" w:sz="4" w:space="0" w:color="auto"/>
              <w:left w:val="single" w:sz="4" w:space="0" w:color="auto"/>
              <w:bottom w:val="single" w:sz="4" w:space="0" w:color="auto"/>
              <w:right w:val="single" w:sz="4" w:space="0" w:color="auto"/>
            </w:tcBorders>
            <w:shd w:val="clear" w:color="000000" w:fill="FFC000"/>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153</w:t>
            </w:r>
          </w:p>
        </w:tc>
        <w:tc>
          <w:tcPr>
            <w:tcW w:w="1784"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center"/>
              <w:rPr>
                <w:rFonts w:ascii="Arial" w:hAnsi="Arial" w:cs="Arial"/>
                <w:sz w:val="20"/>
                <w:szCs w:val="20"/>
              </w:rPr>
            </w:pPr>
            <w:r w:rsidRPr="00EB7AFC">
              <w:rPr>
                <w:rFonts w:ascii="Arial" w:hAnsi="Arial" w:cs="Arial"/>
                <w:sz w:val="20"/>
                <w:szCs w:val="20"/>
              </w:rPr>
              <w:t>“Trust“</w:t>
            </w:r>
          </w:p>
        </w:tc>
        <w:tc>
          <w:tcPr>
            <w:tcW w:w="1136" w:type="dxa"/>
            <w:tcBorders>
              <w:top w:val="single" w:sz="4" w:space="0" w:color="auto"/>
              <w:left w:val="single" w:sz="4" w:space="0" w:color="auto"/>
              <w:bottom w:val="single" w:sz="4" w:space="0" w:color="auto"/>
              <w:right w:val="single" w:sz="4" w:space="0" w:color="auto"/>
            </w:tcBorders>
            <w:shd w:val="clear" w:color="000000" w:fill="FFFFFF"/>
            <w:hideMark/>
          </w:tcPr>
          <w:p w:rsidR="00F14DDB" w:rsidRPr="00EB7AFC" w:rsidRDefault="00F14DDB" w:rsidP="00F14DDB">
            <w:pPr>
              <w:jc w:val="right"/>
              <w:rPr>
                <w:rFonts w:ascii="Arial" w:hAnsi="Arial" w:cs="Arial"/>
                <w:color w:val="000000"/>
                <w:sz w:val="20"/>
                <w:szCs w:val="20"/>
              </w:rPr>
            </w:pPr>
            <w:r w:rsidRPr="00EB7AFC">
              <w:rPr>
                <w:rFonts w:ascii="Arial" w:hAnsi="Arial" w:cs="Arial"/>
                <w:sz w:val="20"/>
                <w:szCs w:val="20"/>
              </w:rPr>
              <w:t>153</w:t>
            </w:r>
          </w:p>
        </w:tc>
      </w:tr>
      <w:tr w:rsidR="00F11FCD" w:rsidTr="00EB7AFC">
        <w:trPr>
          <w:trHeight w:val="320"/>
        </w:trPr>
        <w:tc>
          <w:tcPr>
            <w:tcW w:w="1487" w:type="dxa"/>
            <w:tcBorders>
              <w:top w:val="single" w:sz="4" w:space="0" w:color="auto"/>
              <w:left w:val="single" w:sz="8" w:space="0" w:color="auto"/>
              <w:bottom w:val="single" w:sz="8" w:space="0" w:color="auto"/>
              <w:right w:val="nil"/>
            </w:tcBorders>
            <w:shd w:val="clear" w:color="auto" w:fill="auto"/>
            <w:noWrap/>
            <w:vAlign w:val="bottom"/>
            <w:hideMark/>
          </w:tcPr>
          <w:p w:rsidR="00F11FCD" w:rsidRPr="001817F9" w:rsidRDefault="00F11FCD">
            <w:pPr>
              <w:rPr>
                <w:rFonts w:ascii="Arial" w:hAnsi="Arial" w:cs="Arial"/>
                <w:color w:val="000000"/>
              </w:rPr>
            </w:pPr>
            <w:r w:rsidRPr="001817F9">
              <w:rPr>
                <w:rFonts w:ascii="Arial" w:hAnsi="Arial" w:cs="Arial"/>
                <w:color w:val="000000"/>
              </w:rPr>
              <w:t> </w:t>
            </w:r>
          </w:p>
        </w:tc>
        <w:tc>
          <w:tcPr>
            <w:tcW w:w="1168" w:type="dxa"/>
            <w:tcBorders>
              <w:top w:val="single" w:sz="4" w:space="0" w:color="auto"/>
              <w:left w:val="nil"/>
              <w:bottom w:val="single" w:sz="8" w:space="0" w:color="auto"/>
              <w:right w:val="nil"/>
            </w:tcBorders>
            <w:shd w:val="clear" w:color="auto" w:fill="auto"/>
            <w:noWrap/>
            <w:vAlign w:val="bottom"/>
            <w:hideMark/>
          </w:tcPr>
          <w:p w:rsidR="00F11FCD" w:rsidRPr="001817F9" w:rsidRDefault="00F11FCD">
            <w:pPr>
              <w:rPr>
                <w:rFonts w:ascii="Arial" w:hAnsi="Arial" w:cs="Arial"/>
                <w:color w:val="000000"/>
              </w:rPr>
            </w:pPr>
            <w:r w:rsidRPr="001817F9">
              <w:rPr>
                <w:rFonts w:ascii="Arial" w:hAnsi="Arial" w:cs="Arial"/>
                <w:color w:val="000000"/>
              </w:rPr>
              <w:t> </w:t>
            </w:r>
          </w:p>
        </w:tc>
        <w:tc>
          <w:tcPr>
            <w:tcW w:w="1093" w:type="dxa"/>
            <w:tcBorders>
              <w:top w:val="single" w:sz="4" w:space="0" w:color="auto"/>
              <w:left w:val="nil"/>
              <w:bottom w:val="single" w:sz="8" w:space="0" w:color="auto"/>
              <w:right w:val="nil"/>
            </w:tcBorders>
            <w:shd w:val="clear" w:color="auto" w:fill="auto"/>
            <w:noWrap/>
            <w:vAlign w:val="bottom"/>
            <w:hideMark/>
          </w:tcPr>
          <w:p w:rsidR="00F11FCD" w:rsidRPr="001817F9" w:rsidRDefault="00F11FCD">
            <w:pPr>
              <w:rPr>
                <w:rFonts w:ascii="Arial" w:hAnsi="Arial" w:cs="Arial"/>
                <w:color w:val="000000"/>
              </w:rPr>
            </w:pPr>
            <w:r w:rsidRPr="001817F9">
              <w:rPr>
                <w:rFonts w:ascii="Arial" w:hAnsi="Arial" w:cs="Arial"/>
                <w:color w:val="000000"/>
              </w:rPr>
              <w:t> </w:t>
            </w:r>
          </w:p>
        </w:tc>
        <w:tc>
          <w:tcPr>
            <w:tcW w:w="1163" w:type="dxa"/>
            <w:tcBorders>
              <w:top w:val="single" w:sz="4" w:space="0" w:color="auto"/>
              <w:left w:val="nil"/>
              <w:bottom w:val="single" w:sz="8" w:space="0" w:color="auto"/>
              <w:right w:val="nil"/>
            </w:tcBorders>
            <w:shd w:val="clear" w:color="auto" w:fill="auto"/>
            <w:noWrap/>
            <w:vAlign w:val="bottom"/>
            <w:hideMark/>
          </w:tcPr>
          <w:p w:rsidR="00F11FCD" w:rsidRPr="001817F9" w:rsidRDefault="00F11FCD">
            <w:pPr>
              <w:rPr>
                <w:rFonts w:ascii="Arial" w:hAnsi="Arial" w:cs="Arial"/>
                <w:color w:val="000000"/>
              </w:rPr>
            </w:pPr>
            <w:r w:rsidRPr="001817F9">
              <w:rPr>
                <w:rFonts w:ascii="Arial" w:hAnsi="Arial" w:cs="Arial"/>
                <w:color w:val="000000"/>
              </w:rPr>
              <w:t> </w:t>
            </w:r>
          </w:p>
        </w:tc>
        <w:tc>
          <w:tcPr>
            <w:tcW w:w="1163" w:type="dxa"/>
            <w:tcBorders>
              <w:top w:val="single" w:sz="4" w:space="0" w:color="auto"/>
              <w:left w:val="nil"/>
              <w:bottom w:val="single" w:sz="8" w:space="0" w:color="auto"/>
              <w:right w:val="nil"/>
            </w:tcBorders>
            <w:shd w:val="clear" w:color="auto" w:fill="auto"/>
            <w:noWrap/>
            <w:vAlign w:val="bottom"/>
            <w:hideMark/>
          </w:tcPr>
          <w:p w:rsidR="00F11FCD" w:rsidRPr="001817F9" w:rsidRDefault="00F11FCD">
            <w:pPr>
              <w:rPr>
                <w:rFonts w:ascii="Arial" w:hAnsi="Arial" w:cs="Arial"/>
                <w:color w:val="000000"/>
              </w:rPr>
            </w:pPr>
            <w:r w:rsidRPr="001817F9">
              <w:rPr>
                <w:rFonts w:ascii="Arial" w:hAnsi="Arial" w:cs="Arial"/>
                <w:color w:val="000000"/>
              </w:rPr>
              <w:t> </w:t>
            </w:r>
          </w:p>
        </w:tc>
        <w:tc>
          <w:tcPr>
            <w:tcW w:w="1154" w:type="dxa"/>
            <w:tcBorders>
              <w:top w:val="single" w:sz="4" w:space="0" w:color="auto"/>
              <w:left w:val="nil"/>
              <w:bottom w:val="single" w:sz="8" w:space="0" w:color="auto"/>
              <w:right w:val="nil"/>
            </w:tcBorders>
            <w:shd w:val="clear" w:color="auto" w:fill="auto"/>
            <w:noWrap/>
            <w:vAlign w:val="bottom"/>
            <w:hideMark/>
          </w:tcPr>
          <w:p w:rsidR="00F11FCD" w:rsidRPr="001817F9" w:rsidRDefault="00F11FCD">
            <w:pPr>
              <w:rPr>
                <w:rFonts w:ascii="Arial" w:hAnsi="Arial" w:cs="Arial"/>
                <w:color w:val="000000"/>
              </w:rPr>
            </w:pPr>
            <w:r w:rsidRPr="001817F9">
              <w:rPr>
                <w:rFonts w:ascii="Arial" w:hAnsi="Arial" w:cs="Arial"/>
                <w:color w:val="000000"/>
              </w:rPr>
              <w:t> </w:t>
            </w:r>
          </w:p>
        </w:tc>
        <w:tc>
          <w:tcPr>
            <w:tcW w:w="1784" w:type="dxa"/>
            <w:tcBorders>
              <w:top w:val="single" w:sz="4" w:space="0" w:color="auto"/>
              <w:left w:val="nil"/>
              <w:bottom w:val="single" w:sz="8" w:space="0" w:color="auto"/>
              <w:right w:val="nil"/>
            </w:tcBorders>
            <w:shd w:val="clear" w:color="000000" w:fill="FFFFFF"/>
            <w:vAlign w:val="center"/>
            <w:hideMark/>
          </w:tcPr>
          <w:p w:rsidR="00F11FCD" w:rsidRPr="001817F9" w:rsidRDefault="00F11FCD">
            <w:pPr>
              <w:jc w:val="center"/>
              <w:rPr>
                <w:rFonts w:ascii="Arial" w:hAnsi="Arial" w:cs="Arial"/>
                <w:sz w:val="20"/>
                <w:szCs w:val="20"/>
              </w:rPr>
            </w:pPr>
            <w:r w:rsidRPr="001817F9">
              <w:rPr>
                <w:rFonts w:ascii="Arial" w:hAnsi="Arial" w:cs="Arial"/>
                <w:sz w:val="20"/>
                <w:szCs w:val="20"/>
              </w:rPr>
              <w:t>Total</w:t>
            </w:r>
          </w:p>
        </w:tc>
        <w:tc>
          <w:tcPr>
            <w:tcW w:w="1136" w:type="dxa"/>
            <w:tcBorders>
              <w:top w:val="single" w:sz="4" w:space="0" w:color="auto"/>
              <w:left w:val="nil"/>
              <w:bottom w:val="single" w:sz="8" w:space="0" w:color="auto"/>
              <w:right w:val="single" w:sz="8" w:space="0" w:color="auto"/>
            </w:tcBorders>
            <w:shd w:val="clear" w:color="000000" w:fill="FFFFFF"/>
            <w:noWrap/>
            <w:vAlign w:val="bottom"/>
            <w:hideMark/>
          </w:tcPr>
          <w:p w:rsidR="00F11FCD" w:rsidRPr="008A5601" w:rsidRDefault="00C00EAB" w:rsidP="00374FB9">
            <w:pPr>
              <w:jc w:val="right"/>
              <w:rPr>
                <w:rFonts w:ascii="Arial" w:hAnsi="Arial" w:cs="Arial"/>
                <w:color w:val="000000"/>
                <w:highlight w:val="yellow"/>
              </w:rPr>
            </w:pPr>
            <w:r w:rsidRPr="00C00EAB">
              <w:rPr>
                <w:rFonts w:ascii="Arial" w:hAnsi="Arial" w:cs="Arial"/>
                <w:sz w:val="20"/>
                <w:szCs w:val="20"/>
              </w:rPr>
              <w:t>3,000</w:t>
            </w:r>
          </w:p>
        </w:tc>
      </w:tr>
    </w:tbl>
    <w:p w:rsidR="0040268B" w:rsidRDefault="0040268B" w:rsidP="00261EA3">
      <w:pPr>
        <w:rPr>
          <w:rFonts w:ascii="Arial" w:hAnsi="Arial" w:cs="Arial"/>
          <w:sz w:val="22"/>
          <w:szCs w:val="22"/>
        </w:rPr>
      </w:pPr>
    </w:p>
    <w:p w:rsidR="00D0283D" w:rsidRDefault="00D0283D" w:rsidP="00261EA3">
      <w:pPr>
        <w:rPr>
          <w:rFonts w:ascii="Arial" w:hAnsi="Arial" w:cs="Arial"/>
          <w:sz w:val="22"/>
          <w:szCs w:val="22"/>
        </w:rPr>
      </w:pPr>
    </w:p>
    <w:p w:rsidR="00D0283D" w:rsidRPr="00593F28" w:rsidRDefault="00D657E9" w:rsidP="00593F28">
      <w:pPr>
        <w:pStyle w:val="Heading1"/>
        <w:spacing w:before="0"/>
        <w:rPr>
          <w:b/>
        </w:rPr>
      </w:pPr>
      <w:r w:rsidRPr="00593F28">
        <w:rPr>
          <w:b/>
        </w:rPr>
        <w:t>5</w:t>
      </w:r>
      <w:r w:rsidRPr="00593F28">
        <w:rPr>
          <w:b/>
        </w:rPr>
        <w:tab/>
      </w:r>
      <w:r w:rsidR="00D0283D" w:rsidRPr="00593F28">
        <w:rPr>
          <w:b/>
        </w:rPr>
        <w:t xml:space="preserve">Appeal Process </w:t>
      </w:r>
    </w:p>
    <w:p w:rsidR="00D0283D" w:rsidRDefault="001817F9" w:rsidP="00261EA3">
      <w:pPr>
        <w:rPr>
          <w:rFonts w:ascii="Arial" w:hAnsi="Arial" w:cs="Arial"/>
          <w:sz w:val="22"/>
          <w:szCs w:val="22"/>
        </w:rPr>
      </w:pPr>
      <w:r>
        <w:rPr>
          <w:rFonts w:ascii="Arial" w:hAnsi="Arial" w:cs="Arial"/>
          <w:sz w:val="22"/>
          <w:szCs w:val="22"/>
        </w:rPr>
        <w:tab/>
      </w:r>
    </w:p>
    <w:p w:rsidR="00D0283D" w:rsidRDefault="00D95752" w:rsidP="00593F28">
      <w:pPr>
        <w:pStyle w:val="Heading1"/>
        <w:spacing w:before="0"/>
        <w:ind w:left="720" w:hanging="720"/>
      </w:pPr>
      <w:r>
        <w:t>5.1</w:t>
      </w:r>
      <w:r>
        <w:tab/>
      </w:r>
      <w:r w:rsidR="00083E3E">
        <w:t xml:space="preserve">Last year was </w:t>
      </w:r>
      <w:r w:rsidR="00D0283D">
        <w:t xml:space="preserve">the first time we have suggested capping schools </w:t>
      </w:r>
      <w:r w:rsidR="00DD2664">
        <w:t xml:space="preserve">and the </w:t>
      </w:r>
      <w:r w:rsidR="00DD2664" w:rsidRPr="00DD2664">
        <w:t>Southwark Scheme for Financing Schools</w:t>
      </w:r>
      <w:r w:rsidR="00D0283D">
        <w:t xml:space="preserve"> is silent on any appeals process. </w:t>
      </w:r>
      <w:r w:rsidR="00083E3E">
        <w:t xml:space="preserve">An appeals process was set up and it </w:t>
      </w:r>
      <w:proofErr w:type="gramStart"/>
      <w:r w:rsidR="00083E3E">
        <w:t>is suggested</w:t>
      </w:r>
      <w:proofErr w:type="gramEnd"/>
      <w:r w:rsidR="00083E3E">
        <w:t xml:space="preserve"> it continues. </w:t>
      </w:r>
      <w:r w:rsidR="00D0283D">
        <w:t xml:space="preserve"> </w:t>
      </w:r>
    </w:p>
    <w:p w:rsidR="00593F28" w:rsidRPr="00593F28" w:rsidRDefault="00593F28" w:rsidP="00593F28"/>
    <w:p w:rsidR="00083E3E" w:rsidRDefault="00083E3E" w:rsidP="00083E3E">
      <w:pPr>
        <w:ind w:left="720" w:hanging="720"/>
        <w:jc w:val="both"/>
        <w:rPr>
          <w:rFonts w:ascii="Arial" w:hAnsi="Arial" w:cs="Arial"/>
          <w:sz w:val="22"/>
          <w:szCs w:val="22"/>
        </w:rPr>
      </w:pPr>
    </w:p>
    <w:p w:rsidR="00D0283D" w:rsidRDefault="00D95752" w:rsidP="00593F28">
      <w:pPr>
        <w:pStyle w:val="Heading1"/>
        <w:spacing w:before="0"/>
      </w:pPr>
      <w:r>
        <w:lastRenderedPageBreak/>
        <w:t>5.2</w:t>
      </w:r>
      <w:r>
        <w:tab/>
      </w:r>
      <w:r w:rsidR="00083E3E">
        <w:t xml:space="preserve">The panel is made up of the </w:t>
      </w:r>
      <w:r w:rsidR="00D0283D">
        <w:t xml:space="preserve"> </w:t>
      </w:r>
    </w:p>
    <w:p w:rsidR="00D0283D" w:rsidRDefault="001817F9" w:rsidP="00261EA3">
      <w:pPr>
        <w:rPr>
          <w:rFonts w:ascii="Arial" w:hAnsi="Arial" w:cs="Arial"/>
          <w:sz w:val="22"/>
          <w:szCs w:val="22"/>
        </w:rPr>
      </w:pPr>
      <w:r>
        <w:rPr>
          <w:rFonts w:ascii="Arial" w:hAnsi="Arial" w:cs="Arial"/>
          <w:sz w:val="22"/>
          <w:szCs w:val="22"/>
        </w:rPr>
        <w:tab/>
      </w:r>
    </w:p>
    <w:p w:rsidR="00D0283D" w:rsidRDefault="00D0283D" w:rsidP="00D657E9">
      <w:pPr>
        <w:numPr>
          <w:ilvl w:val="0"/>
          <w:numId w:val="29"/>
        </w:numPr>
        <w:rPr>
          <w:rFonts w:ascii="Arial" w:hAnsi="Arial" w:cs="Arial"/>
          <w:sz w:val="22"/>
          <w:szCs w:val="22"/>
        </w:rPr>
      </w:pPr>
      <w:r>
        <w:rPr>
          <w:rFonts w:ascii="Arial" w:hAnsi="Arial" w:cs="Arial"/>
          <w:sz w:val="22"/>
          <w:szCs w:val="22"/>
        </w:rPr>
        <w:t>Director of Education</w:t>
      </w:r>
    </w:p>
    <w:p w:rsidR="00D0283D" w:rsidRDefault="00D0283D" w:rsidP="00D657E9">
      <w:pPr>
        <w:numPr>
          <w:ilvl w:val="0"/>
          <w:numId w:val="29"/>
        </w:numPr>
        <w:rPr>
          <w:rFonts w:ascii="Arial" w:hAnsi="Arial" w:cs="Arial"/>
          <w:sz w:val="22"/>
          <w:szCs w:val="22"/>
        </w:rPr>
      </w:pPr>
      <w:r>
        <w:rPr>
          <w:rFonts w:ascii="Arial" w:hAnsi="Arial" w:cs="Arial"/>
          <w:sz w:val="22"/>
          <w:szCs w:val="22"/>
        </w:rPr>
        <w:t xml:space="preserve">Chair of the Schools Forum </w:t>
      </w:r>
    </w:p>
    <w:p w:rsidR="00D0283D" w:rsidRDefault="00D0283D" w:rsidP="00D657E9">
      <w:pPr>
        <w:numPr>
          <w:ilvl w:val="0"/>
          <w:numId w:val="29"/>
        </w:numPr>
        <w:rPr>
          <w:rFonts w:ascii="Arial" w:hAnsi="Arial" w:cs="Arial"/>
          <w:sz w:val="22"/>
          <w:szCs w:val="22"/>
        </w:rPr>
      </w:pPr>
      <w:r>
        <w:rPr>
          <w:rFonts w:ascii="Arial" w:hAnsi="Arial" w:cs="Arial"/>
          <w:sz w:val="22"/>
          <w:szCs w:val="22"/>
        </w:rPr>
        <w:t>D</w:t>
      </w:r>
      <w:r w:rsidR="00296E4A">
        <w:rPr>
          <w:rFonts w:ascii="Arial" w:hAnsi="Arial" w:cs="Arial"/>
          <w:sz w:val="22"/>
          <w:szCs w:val="22"/>
        </w:rPr>
        <w:t xml:space="preserve">epartmental </w:t>
      </w:r>
      <w:r>
        <w:rPr>
          <w:rFonts w:ascii="Arial" w:hAnsi="Arial" w:cs="Arial"/>
          <w:sz w:val="22"/>
          <w:szCs w:val="22"/>
        </w:rPr>
        <w:t xml:space="preserve"> Finance </w:t>
      </w:r>
      <w:r w:rsidR="00DF690E">
        <w:rPr>
          <w:rFonts w:ascii="Arial" w:hAnsi="Arial" w:cs="Arial"/>
          <w:sz w:val="22"/>
          <w:szCs w:val="22"/>
        </w:rPr>
        <w:t>M</w:t>
      </w:r>
      <w:r w:rsidR="005B0E7C">
        <w:rPr>
          <w:rFonts w:ascii="Arial" w:hAnsi="Arial" w:cs="Arial"/>
          <w:sz w:val="22"/>
          <w:szCs w:val="22"/>
        </w:rPr>
        <w:t>anager of C</w:t>
      </w:r>
      <w:r>
        <w:rPr>
          <w:rFonts w:ascii="Arial" w:hAnsi="Arial" w:cs="Arial"/>
          <w:sz w:val="22"/>
          <w:szCs w:val="22"/>
        </w:rPr>
        <w:t xml:space="preserve">hildren and Adults Directorate </w:t>
      </w:r>
    </w:p>
    <w:p w:rsidR="00D0283D" w:rsidRDefault="00D0283D" w:rsidP="00261EA3">
      <w:pPr>
        <w:rPr>
          <w:rFonts w:ascii="Arial" w:hAnsi="Arial" w:cs="Arial"/>
          <w:sz w:val="22"/>
          <w:szCs w:val="22"/>
        </w:rPr>
      </w:pPr>
    </w:p>
    <w:p w:rsidR="00D0283D" w:rsidRDefault="00D0283D" w:rsidP="00D657E9">
      <w:pPr>
        <w:ind w:firstLine="720"/>
        <w:rPr>
          <w:rFonts w:ascii="Arial" w:hAnsi="Arial" w:cs="Arial"/>
          <w:sz w:val="22"/>
          <w:szCs w:val="22"/>
        </w:rPr>
      </w:pPr>
      <w:r>
        <w:rPr>
          <w:rFonts w:ascii="Arial" w:hAnsi="Arial" w:cs="Arial"/>
          <w:sz w:val="22"/>
          <w:szCs w:val="22"/>
        </w:rPr>
        <w:t>Their decision being final</w:t>
      </w:r>
      <w:r w:rsidR="00D95752">
        <w:rPr>
          <w:rFonts w:ascii="Arial" w:hAnsi="Arial" w:cs="Arial"/>
          <w:sz w:val="22"/>
          <w:szCs w:val="22"/>
        </w:rPr>
        <w:t>.</w:t>
      </w:r>
    </w:p>
    <w:p w:rsidR="00F14DDB" w:rsidRDefault="00F14DDB" w:rsidP="00D657E9">
      <w:pPr>
        <w:ind w:firstLine="720"/>
        <w:rPr>
          <w:rFonts w:ascii="Arial" w:hAnsi="Arial" w:cs="Arial"/>
          <w:sz w:val="22"/>
          <w:szCs w:val="22"/>
        </w:rPr>
      </w:pPr>
    </w:p>
    <w:p w:rsidR="00F14DDB" w:rsidRDefault="00F14DDB" w:rsidP="00EB7AFC">
      <w:pPr>
        <w:ind w:left="720"/>
        <w:rPr>
          <w:rFonts w:ascii="Arial" w:hAnsi="Arial" w:cs="Arial"/>
          <w:sz w:val="22"/>
          <w:szCs w:val="22"/>
        </w:rPr>
      </w:pPr>
      <w:r>
        <w:rPr>
          <w:rFonts w:ascii="Arial" w:hAnsi="Arial" w:cs="Arial"/>
          <w:sz w:val="22"/>
          <w:szCs w:val="22"/>
        </w:rPr>
        <w:t>The panel can uphold a</w:t>
      </w:r>
      <w:r w:rsidR="0031684A">
        <w:rPr>
          <w:rFonts w:ascii="Arial" w:hAnsi="Arial" w:cs="Arial"/>
          <w:sz w:val="22"/>
          <w:szCs w:val="22"/>
        </w:rPr>
        <w:t>n</w:t>
      </w:r>
      <w:r>
        <w:rPr>
          <w:rFonts w:ascii="Arial" w:hAnsi="Arial" w:cs="Arial"/>
          <w:sz w:val="22"/>
          <w:szCs w:val="22"/>
        </w:rPr>
        <w:t xml:space="preserve"> appeal provided it </w:t>
      </w:r>
      <w:proofErr w:type="gramStart"/>
      <w:r>
        <w:rPr>
          <w:rFonts w:ascii="Arial" w:hAnsi="Arial" w:cs="Arial"/>
          <w:sz w:val="22"/>
          <w:szCs w:val="22"/>
        </w:rPr>
        <w:t>is</w:t>
      </w:r>
      <w:proofErr w:type="gramEnd"/>
      <w:r>
        <w:rPr>
          <w:rFonts w:ascii="Arial" w:hAnsi="Arial" w:cs="Arial"/>
          <w:sz w:val="22"/>
          <w:szCs w:val="22"/>
        </w:rPr>
        <w:t xml:space="preserve"> in accordance with Southwark Scheme of Financing Schools. All decisions </w:t>
      </w:r>
      <w:proofErr w:type="gramStart"/>
      <w:r>
        <w:rPr>
          <w:rFonts w:ascii="Arial" w:hAnsi="Arial" w:cs="Arial"/>
          <w:sz w:val="22"/>
          <w:szCs w:val="22"/>
        </w:rPr>
        <w:t>will be reported</w:t>
      </w:r>
      <w:proofErr w:type="gramEnd"/>
      <w:r>
        <w:rPr>
          <w:rFonts w:ascii="Arial" w:hAnsi="Arial" w:cs="Arial"/>
          <w:sz w:val="22"/>
          <w:szCs w:val="22"/>
        </w:rPr>
        <w:t xml:space="preserve"> to the Schools Forum</w:t>
      </w:r>
    </w:p>
    <w:p w:rsidR="00D0283D" w:rsidRPr="00593F28" w:rsidRDefault="00D0283D" w:rsidP="00261EA3">
      <w:pPr>
        <w:rPr>
          <w:rFonts w:ascii="Arial" w:hAnsi="Arial" w:cs="Arial"/>
          <w:sz w:val="16"/>
          <w:szCs w:val="16"/>
        </w:rPr>
      </w:pPr>
    </w:p>
    <w:p w:rsidR="00D0283D" w:rsidRDefault="00D0283D" w:rsidP="00261EA3">
      <w:pPr>
        <w:rPr>
          <w:rFonts w:ascii="Arial" w:hAnsi="Arial" w:cs="Arial"/>
          <w:sz w:val="22"/>
          <w:szCs w:val="22"/>
        </w:rPr>
      </w:pPr>
    </w:p>
    <w:p w:rsidR="003C6B56" w:rsidRPr="00593F28" w:rsidRDefault="002C4AB5" w:rsidP="00593F28">
      <w:pPr>
        <w:pStyle w:val="Heading1"/>
        <w:spacing w:before="0"/>
        <w:rPr>
          <w:b/>
        </w:rPr>
      </w:pPr>
      <w:r w:rsidRPr="00593F28">
        <w:rPr>
          <w:b/>
        </w:rPr>
        <w:t>6</w:t>
      </w:r>
      <w:r w:rsidR="00D657E9" w:rsidRPr="00593F28">
        <w:rPr>
          <w:b/>
        </w:rPr>
        <w:tab/>
      </w:r>
      <w:r w:rsidR="003C6B56" w:rsidRPr="00593F28">
        <w:rPr>
          <w:b/>
        </w:rPr>
        <w:t xml:space="preserve">Conclusion </w:t>
      </w:r>
    </w:p>
    <w:p w:rsidR="00D657E9" w:rsidRDefault="00D657E9" w:rsidP="003C6B56">
      <w:pPr>
        <w:rPr>
          <w:rFonts w:ascii="Arial" w:hAnsi="Arial" w:cs="Arial"/>
          <w:b/>
          <w:sz w:val="22"/>
          <w:szCs w:val="22"/>
        </w:rPr>
      </w:pPr>
    </w:p>
    <w:p w:rsidR="00D657E9" w:rsidRPr="00D657E9" w:rsidRDefault="00593F28" w:rsidP="00593F28">
      <w:pPr>
        <w:pStyle w:val="Heading1"/>
        <w:spacing w:before="0"/>
        <w:ind w:left="720" w:hanging="720"/>
      </w:pPr>
      <w:proofErr w:type="gramStart"/>
      <w:r>
        <w:t>6</w:t>
      </w:r>
      <w:r w:rsidR="00D95752">
        <w:t>.1</w:t>
      </w:r>
      <w:proofErr w:type="gramEnd"/>
      <w:r w:rsidR="00D95752">
        <w:tab/>
      </w:r>
      <w:r w:rsidR="00BE4623">
        <w:t>F</w:t>
      </w:r>
      <w:r w:rsidR="00D657E9" w:rsidRPr="00D657E9">
        <w:t xml:space="preserve">unding </w:t>
      </w:r>
      <w:r w:rsidR="00BE4623">
        <w:t>for schools is intended to be spent</w:t>
      </w:r>
      <w:r w:rsidR="00D657E9" w:rsidRPr="00D657E9">
        <w:t xml:space="preserve"> on the pupils in the school</w:t>
      </w:r>
      <w:r w:rsidR="005B0E7C">
        <w:t xml:space="preserve"> in the year in </w:t>
      </w:r>
      <w:bookmarkStart w:id="0" w:name="_GoBack"/>
      <w:bookmarkEnd w:id="0"/>
      <w:r w:rsidR="005B0E7C">
        <w:t>which the funding was provided</w:t>
      </w:r>
      <w:r w:rsidR="00D657E9" w:rsidRPr="00D657E9">
        <w:t xml:space="preserve">. </w:t>
      </w:r>
      <w:proofErr w:type="gramStart"/>
      <w:r w:rsidR="00BE4623">
        <w:t xml:space="preserve">It has been noted by </w:t>
      </w:r>
      <w:r w:rsidR="00B93547">
        <w:t>Schools Forum</w:t>
      </w:r>
      <w:proofErr w:type="gramEnd"/>
      <w:r w:rsidR="00B93547">
        <w:t xml:space="preserve"> </w:t>
      </w:r>
      <w:r w:rsidR="00BE4623">
        <w:t>in previous years that that s</w:t>
      </w:r>
      <w:r w:rsidR="00D657E9" w:rsidRPr="00D657E9">
        <w:t xml:space="preserve">ome schools have had very high balances </w:t>
      </w:r>
      <w:r w:rsidR="00BE4623" w:rsidRPr="00D657E9">
        <w:t xml:space="preserve">over the past few years </w:t>
      </w:r>
      <w:r w:rsidR="00D657E9" w:rsidRPr="00D657E9">
        <w:t>and while their return</w:t>
      </w:r>
      <w:r w:rsidR="00D657E9">
        <w:t>s</w:t>
      </w:r>
      <w:r w:rsidR="00D657E9" w:rsidRPr="00D657E9">
        <w:t xml:space="preserve"> have said they will s</w:t>
      </w:r>
      <w:r w:rsidR="00BE4623">
        <w:t>p</w:t>
      </w:r>
      <w:r w:rsidR="00D657E9" w:rsidRPr="00D657E9">
        <w:t>end the funding this has not happen</w:t>
      </w:r>
      <w:r w:rsidR="00D657E9">
        <w:t>ed</w:t>
      </w:r>
      <w:r w:rsidR="00D657E9" w:rsidRPr="00D657E9">
        <w:t xml:space="preserve">. </w:t>
      </w:r>
      <w:r w:rsidR="002C4AB5">
        <w:t xml:space="preserve">Last year was the first year that a decision </w:t>
      </w:r>
      <w:proofErr w:type="gramStart"/>
      <w:r w:rsidR="002C4AB5">
        <w:t>was made</w:t>
      </w:r>
      <w:proofErr w:type="gramEnd"/>
      <w:r w:rsidR="002C4AB5">
        <w:t xml:space="preserve"> on withdrawing funds from schools it we seem sensible to continue the process set up. </w:t>
      </w:r>
    </w:p>
    <w:p w:rsidR="003C6B56" w:rsidRDefault="003C6B56" w:rsidP="003C6B56">
      <w:pPr>
        <w:rPr>
          <w:rFonts w:ascii="Arial" w:hAnsi="Arial" w:cs="Arial"/>
          <w:b/>
          <w:sz w:val="22"/>
          <w:szCs w:val="22"/>
        </w:rPr>
      </w:pPr>
    </w:p>
    <w:p w:rsidR="003C6B56" w:rsidRDefault="003C6B56" w:rsidP="003C6B56">
      <w:pPr>
        <w:rPr>
          <w:rFonts w:ascii="Arial" w:hAnsi="Arial" w:cs="Arial"/>
          <w:b/>
          <w:sz w:val="22"/>
          <w:szCs w:val="22"/>
        </w:rPr>
      </w:pPr>
    </w:p>
    <w:p w:rsidR="005E5024" w:rsidRDefault="005E5024" w:rsidP="005E5024">
      <w:pPr>
        <w:ind w:left="720" w:hanging="720"/>
        <w:rPr>
          <w:rFonts w:ascii="Arial" w:hAnsi="Arial" w:cs="Arial"/>
          <w:sz w:val="22"/>
          <w:szCs w:val="22"/>
        </w:rPr>
      </w:pPr>
    </w:p>
    <w:sectPr w:rsidR="005E5024" w:rsidSect="00C23E81">
      <w:headerReference w:type="default" r:id="rId7"/>
      <w:footerReference w:type="default" r:id="rId8"/>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85" w:rsidRDefault="00BB0E85">
      <w:r>
        <w:separator/>
      </w:r>
    </w:p>
  </w:endnote>
  <w:endnote w:type="continuationSeparator" w:id="0">
    <w:p w:rsidR="00BB0E85" w:rsidRDefault="00BB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70B" w:rsidRPr="00CA670B" w:rsidRDefault="00CA670B" w:rsidP="00CA670B">
    <w:pPr>
      <w:pStyle w:val="Header"/>
      <w:jc w:val="center"/>
      <w:rPr>
        <w:sz w:val="20"/>
        <w:szCs w:val="20"/>
      </w:rPr>
    </w:pPr>
    <w:r w:rsidRPr="00CA670B">
      <w:rPr>
        <w:sz w:val="20"/>
        <w:szCs w:val="20"/>
      </w:rPr>
      <w:t xml:space="preserve">Schools Forum </w:t>
    </w:r>
    <w:r w:rsidR="00083E3E">
      <w:rPr>
        <w:sz w:val="20"/>
        <w:szCs w:val="20"/>
      </w:rPr>
      <w:t>29 September</w:t>
    </w:r>
    <w:r w:rsidR="001500CA">
      <w:rPr>
        <w:sz w:val="20"/>
        <w:szCs w:val="20"/>
      </w:rPr>
      <w:t xml:space="preserve"> </w:t>
    </w:r>
    <w:r w:rsidR="00881B46">
      <w:rPr>
        <w:sz w:val="20"/>
        <w:szCs w:val="20"/>
      </w:rPr>
      <w:t>202</w:t>
    </w:r>
    <w:r w:rsidR="00083E3E">
      <w:rPr>
        <w:sz w:val="20"/>
        <w:szCs w:val="20"/>
      </w:rPr>
      <w:t>2</w:t>
    </w:r>
    <w:r w:rsidR="00881B46">
      <w:rPr>
        <w:sz w:val="20"/>
        <w:szCs w:val="20"/>
      </w:rPr>
      <w:t xml:space="preserve"> </w:t>
    </w:r>
    <w:r w:rsidRPr="00CA670B">
      <w:rPr>
        <w:sz w:val="20"/>
        <w:szCs w:val="20"/>
      </w:rPr>
      <w:t xml:space="preserve">   Item </w:t>
    </w:r>
    <w:r w:rsidR="00083E3E">
      <w:rPr>
        <w:sz w:val="20"/>
        <w:szCs w:val="20"/>
      </w:rPr>
      <w:t>9</w:t>
    </w:r>
  </w:p>
  <w:p w:rsidR="009F0C9A" w:rsidRDefault="009F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85" w:rsidRDefault="00BB0E85">
      <w:r>
        <w:separator/>
      </w:r>
    </w:p>
  </w:footnote>
  <w:footnote w:type="continuationSeparator" w:id="0">
    <w:p w:rsidR="00BB0E85" w:rsidRDefault="00BB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D10" w:rsidRPr="00CA670B" w:rsidRDefault="00D33D10" w:rsidP="00600CF4">
    <w:pPr>
      <w:pStyle w:val="Header"/>
      <w:rPr>
        <w:sz w:val="20"/>
        <w:szCs w:val="20"/>
      </w:rPr>
    </w:pPr>
  </w:p>
  <w:p w:rsidR="00D33D10" w:rsidRDefault="00D33D10" w:rsidP="00D33D10">
    <w:pPr>
      <w:pStyle w:val="Header"/>
      <w:tabs>
        <w:tab w:val="clear" w:pos="4153"/>
        <w:tab w:val="clear" w:pos="8306"/>
        <w:tab w:val="left" w:pos="3861"/>
        <w:tab w:val="center" w:pos="513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1A64"/>
    <w:multiLevelType w:val="hybridMultilevel"/>
    <w:tmpl w:val="068A28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E5887"/>
    <w:multiLevelType w:val="hybridMultilevel"/>
    <w:tmpl w:val="D35049B2"/>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 w15:restartNumberingAfterBreak="0">
    <w:nsid w:val="08D61B5F"/>
    <w:multiLevelType w:val="hybridMultilevel"/>
    <w:tmpl w:val="608AE8A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367BC"/>
    <w:multiLevelType w:val="hybridMultilevel"/>
    <w:tmpl w:val="CD26B2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C21AF"/>
    <w:multiLevelType w:val="hybridMultilevel"/>
    <w:tmpl w:val="1D1AD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05A04"/>
    <w:multiLevelType w:val="hybridMultilevel"/>
    <w:tmpl w:val="0BF4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26918"/>
    <w:multiLevelType w:val="hybridMultilevel"/>
    <w:tmpl w:val="683C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85E16"/>
    <w:multiLevelType w:val="hybridMultilevel"/>
    <w:tmpl w:val="76DE9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E2462"/>
    <w:multiLevelType w:val="hybridMultilevel"/>
    <w:tmpl w:val="869CB6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56E4BC8"/>
    <w:multiLevelType w:val="hybridMultilevel"/>
    <w:tmpl w:val="E148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3932"/>
    <w:multiLevelType w:val="hybridMultilevel"/>
    <w:tmpl w:val="C868E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8801AE"/>
    <w:multiLevelType w:val="hybridMultilevel"/>
    <w:tmpl w:val="F08E2E4C"/>
    <w:lvl w:ilvl="0" w:tplc="8A3E0CA2">
      <w:start w:val="1"/>
      <w:numFmt w:val="lowerRoman"/>
      <w:lvlText w:val="%1)"/>
      <w:lvlJc w:val="left"/>
      <w:pPr>
        <w:ind w:left="1790" w:hanging="720"/>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2" w15:restartNumberingAfterBreak="0">
    <w:nsid w:val="22B76DB6"/>
    <w:multiLevelType w:val="hybridMultilevel"/>
    <w:tmpl w:val="28FE08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46097A"/>
    <w:multiLevelType w:val="multilevel"/>
    <w:tmpl w:val="4E42D366"/>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B87CF3"/>
    <w:multiLevelType w:val="hybridMultilevel"/>
    <w:tmpl w:val="6E7AA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4D0B81"/>
    <w:multiLevelType w:val="hybridMultilevel"/>
    <w:tmpl w:val="F6C0D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B4103D"/>
    <w:multiLevelType w:val="hybridMultilevel"/>
    <w:tmpl w:val="4DD07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94100C"/>
    <w:multiLevelType w:val="hybridMultilevel"/>
    <w:tmpl w:val="A2D41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E43C4"/>
    <w:multiLevelType w:val="hybridMultilevel"/>
    <w:tmpl w:val="E6AE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978E4"/>
    <w:multiLevelType w:val="hybridMultilevel"/>
    <w:tmpl w:val="4726FA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AF7A72"/>
    <w:multiLevelType w:val="hybridMultilevel"/>
    <w:tmpl w:val="9668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B35FE5"/>
    <w:multiLevelType w:val="multilevel"/>
    <w:tmpl w:val="41F272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3D6128"/>
    <w:multiLevelType w:val="hybridMultilevel"/>
    <w:tmpl w:val="144E7C5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99A7C08"/>
    <w:multiLevelType w:val="hybridMultilevel"/>
    <w:tmpl w:val="28FE08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00FB3"/>
    <w:multiLevelType w:val="hybridMultilevel"/>
    <w:tmpl w:val="DEEA7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AE6DBF"/>
    <w:multiLevelType w:val="hybridMultilevel"/>
    <w:tmpl w:val="156E8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2125DF"/>
    <w:multiLevelType w:val="hybridMultilevel"/>
    <w:tmpl w:val="1318D8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7C7DFD"/>
    <w:multiLevelType w:val="hybridMultilevel"/>
    <w:tmpl w:val="501A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FC509F"/>
    <w:multiLevelType w:val="hybridMultilevel"/>
    <w:tmpl w:val="3918C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9"/>
  </w:num>
  <w:num w:numId="4">
    <w:abstractNumId w:val="26"/>
  </w:num>
  <w:num w:numId="5">
    <w:abstractNumId w:val="14"/>
  </w:num>
  <w:num w:numId="6">
    <w:abstractNumId w:val="25"/>
  </w:num>
  <w:num w:numId="7">
    <w:abstractNumId w:val="6"/>
  </w:num>
  <w:num w:numId="8">
    <w:abstractNumId w:val="4"/>
  </w:num>
  <w:num w:numId="9">
    <w:abstractNumId w:val="21"/>
  </w:num>
  <w:num w:numId="10">
    <w:abstractNumId w:val="28"/>
  </w:num>
  <w:num w:numId="11">
    <w:abstractNumId w:val="10"/>
  </w:num>
  <w:num w:numId="12">
    <w:abstractNumId w:val="18"/>
  </w:num>
  <w:num w:numId="13">
    <w:abstractNumId w:val="5"/>
  </w:num>
  <w:num w:numId="14">
    <w:abstractNumId w:val="15"/>
  </w:num>
  <w:num w:numId="15">
    <w:abstractNumId w:val="19"/>
  </w:num>
  <w:num w:numId="16">
    <w:abstractNumId w:val="22"/>
  </w:num>
  <w:num w:numId="17">
    <w:abstractNumId w:val="24"/>
  </w:num>
  <w:num w:numId="18">
    <w:abstractNumId w:val="29"/>
  </w:num>
  <w:num w:numId="19">
    <w:abstractNumId w:val="2"/>
  </w:num>
  <w:num w:numId="20">
    <w:abstractNumId w:val="13"/>
  </w:num>
  <w:num w:numId="21">
    <w:abstractNumId w:val="8"/>
  </w:num>
  <w:num w:numId="22">
    <w:abstractNumId w:val="23"/>
  </w:num>
  <w:num w:numId="23">
    <w:abstractNumId w:val="1"/>
  </w:num>
  <w:num w:numId="24">
    <w:abstractNumId w:val="12"/>
  </w:num>
  <w:num w:numId="25">
    <w:abstractNumId w:val="27"/>
  </w:num>
  <w:num w:numId="26">
    <w:abstractNumId w:val="7"/>
  </w:num>
  <w:num w:numId="27">
    <w:abstractNumId w:val="3"/>
  </w:num>
  <w:num w:numId="28">
    <w:abstractNumId w:val="17"/>
  </w:num>
  <w:num w:numId="29">
    <w:abstractNumId w:val="20"/>
  </w:num>
  <w:num w:numId="3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PsnjyIMlimDm1X5J/lB5VfpFDh3q2lYm2oh3KvDp1RGOp5GhN/iyQf9JKZp1+6tt"/>
  </w:docVars>
  <w:rsids>
    <w:rsidRoot w:val="004F586F"/>
    <w:rsid w:val="00001F10"/>
    <w:rsid w:val="0000375F"/>
    <w:rsid w:val="00004F5F"/>
    <w:rsid w:val="00006499"/>
    <w:rsid w:val="000074EA"/>
    <w:rsid w:val="00012DD4"/>
    <w:rsid w:val="0001442E"/>
    <w:rsid w:val="00015500"/>
    <w:rsid w:val="000159D3"/>
    <w:rsid w:val="00015A48"/>
    <w:rsid w:val="000161F0"/>
    <w:rsid w:val="0001781F"/>
    <w:rsid w:val="00020342"/>
    <w:rsid w:val="00022933"/>
    <w:rsid w:val="00024999"/>
    <w:rsid w:val="0002522B"/>
    <w:rsid w:val="00027326"/>
    <w:rsid w:val="000276FB"/>
    <w:rsid w:val="00034271"/>
    <w:rsid w:val="00036A31"/>
    <w:rsid w:val="00043398"/>
    <w:rsid w:val="00044E7A"/>
    <w:rsid w:val="00050D32"/>
    <w:rsid w:val="00052E79"/>
    <w:rsid w:val="00053A66"/>
    <w:rsid w:val="00053CDB"/>
    <w:rsid w:val="0005557C"/>
    <w:rsid w:val="00055985"/>
    <w:rsid w:val="00056545"/>
    <w:rsid w:val="00056AC2"/>
    <w:rsid w:val="0005703F"/>
    <w:rsid w:val="000630BD"/>
    <w:rsid w:val="00063DC5"/>
    <w:rsid w:val="00064A79"/>
    <w:rsid w:val="00065B5C"/>
    <w:rsid w:val="00070C1E"/>
    <w:rsid w:val="000715CE"/>
    <w:rsid w:val="00071CC2"/>
    <w:rsid w:val="00073712"/>
    <w:rsid w:val="0007586B"/>
    <w:rsid w:val="000759A0"/>
    <w:rsid w:val="00076810"/>
    <w:rsid w:val="00076B16"/>
    <w:rsid w:val="000773D1"/>
    <w:rsid w:val="000802EC"/>
    <w:rsid w:val="00083E3E"/>
    <w:rsid w:val="000868EB"/>
    <w:rsid w:val="000872C0"/>
    <w:rsid w:val="00090FDE"/>
    <w:rsid w:val="00091469"/>
    <w:rsid w:val="0009688E"/>
    <w:rsid w:val="000A12CE"/>
    <w:rsid w:val="000B4ED8"/>
    <w:rsid w:val="000B7518"/>
    <w:rsid w:val="000C3888"/>
    <w:rsid w:val="000C5C1A"/>
    <w:rsid w:val="000C5FB1"/>
    <w:rsid w:val="000D0438"/>
    <w:rsid w:val="000D20B2"/>
    <w:rsid w:val="000D2315"/>
    <w:rsid w:val="000D23A0"/>
    <w:rsid w:val="000D4711"/>
    <w:rsid w:val="000D73DB"/>
    <w:rsid w:val="000E35BB"/>
    <w:rsid w:val="000E5184"/>
    <w:rsid w:val="000E5FF3"/>
    <w:rsid w:val="000E6707"/>
    <w:rsid w:val="000E6F15"/>
    <w:rsid w:val="000F1179"/>
    <w:rsid w:val="000F13AB"/>
    <w:rsid w:val="000F15B6"/>
    <w:rsid w:val="000F4CDB"/>
    <w:rsid w:val="00100889"/>
    <w:rsid w:val="00106989"/>
    <w:rsid w:val="00111120"/>
    <w:rsid w:val="00112018"/>
    <w:rsid w:val="001137C6"/>
    <w:rsid w:val="00113D11"/>
    <w:rsid w:val="00120154"/>
    <w:rsid w:val="00120CF1"/>
    <w:rsid w:val="0012149D"/>
    <w:rsid w:val="00124E3C"/>
    <w:rsid w:val="00125716"/>
    <w:rsid w:val="00126BBB"/>
    <w:rsid w:val="00127866"/>
    <w:rsid w:val="00130E80"/>
    <w:rsid w:val="00131D5A"/>
    <w:rsid w:val="00132054"/>
    <w:rsid w:val="00132F5C"/>
    <w:rsid w:val="00133981"/>
    <w:rsid w:val="00133FF1"/>
    <w:rsid w:val="00133FF5"/>
    <w:rsid w:val="001370AA"/>
    <w:rsid w:val="001450A5"/>
    <w:rsid w:val="00146564"/>
    <w:rsid w:val="001500CA"/>
    <w:rsid w:val="001507BE"/>
    <w:rsid w:val="001524B7"/>
    <w:rsid w:val="001528BF"/>
    <w:rsid w:val="00154FD1"/>
    <w:rsid w:val="00155329"/>
    <w:rsid w:val="0015619D"/>
    <w:rsid w:val="00157726"/>
    <w:rsid w:val="001616C0"/>
    <w:rsid w:val="00162410"/>
    <w:rsid w:val="001629C9"/>
    <w:rsid w:val="0016421C"/>
    <w:rsid w:val="00164CDF"/>
    <w:rsid w:val="00164FD0"/>
    <w:rsid w:val="001714C3"/>
    <w:rsid w:val="00172DBA"/>
    <w:rsid w:val="0017465B"/>
    <w:rsid w:val="00175CDE"/>
    <w:rsid w:val="00175F82"/>
    <w:rsid w:val="0017655D"/>
    <w:rsid w:val="00177311"/>
    <w:rsid w:val="001817F9"/>
    <w:rsid w:val="00184648"/>
    <w:rsid w:val="00185343"/>
    <w:rsid w:val="00185C27"/>
    <w:rsid w:val="0019109E"/>
    <w:rsid w:val="0019426F"/>
    <w:rsid w:val="00194EC5"/>
    <w:rsid w:val="001A1053"/>
    <w:rsid w:val="001A17CF"/>
    <w:rsid w:val="001A1BF3"/>
    <w:rsid w:val="001A5B84"/>
    <w:rsid w:val="001B0CEC"/>
    <w:rsid w:val="001B0FAE"/>
    <w:rsid w:val="001B28E9"/>
    <w:rsid w:val="001B504A"/>
    <w:rsid w:val="001B5166"/>
    <w:rsid w:val="001B7549"/>
    <w:rsid w:val="001B7D04"/>
    <w:rsid w:val="001C0947"/>
    <w:rsid w:val="001C1618"/>
    <w:rsid w:val="001C2082"/>
    <w:rsid w:val="001C29C7"/>
    <w:rsid w:val="001C34A8"/>
    <w:rsid w:val="001C3840"/>
    <w:rsid w:val="001C3A77"/>
    <w:rsid w:val="001C3B83"/>
    <w:rsid w:val="001C3D28"/>
    <w:rsid w:val="001C3E8B"/>
    <w:rsid w:val="001C46A0"/>
    <w:rsid w:val="001C5185"/>
    <w:rsid w:val="001C52BB"/>
    <w:rsid w:val="001C5BB9"/>
    <w:rsid w:val="001D027F"/>
    <w:rsid w:val="001D035C"/>
    <w:rsid w:val="001D0D39"/>
    <w:rsid w:val="001D1DEF"/>
    <w:rsid w:val="001D5CCB"/>
    <w:rsid w:val="001D73BF"/>
    <w:rsid w:val="001E10FB"/>
    <w:rsid w:val="001E1FBA"/>
    <w:rsid w:val="001E7B2B"/>
    <w:rsid w:val="001F2806"/>
    <w:rsid w:val="001F411C"/>
    <w:rsid w:val="001F4685"/>
    <w:rsid w:val="001F5DEC"/>
    <w:rsid w:val="001F7543"/>
    <w:rsid w:val="001F7C5E"/>
    <w:rsid w:val="00201EA1"/>
    <w:rsid w:val="0020292F"/>
    <w:rsid w:val="00214949"/>
    <w:rsid w:val="00217C5E"/>
    <w:rsid w:val="00220BA0"/>
    <w:rsid w:val="002234E0"/>
    <w:rsid w:val="002243B5"/>
    <w:rsid w:val="00224C14"/>
    <w:rsid w:val="002259B9"/>
    <w:rsid w:val="0023124B"/>
    <w:rsid w:val="00231641"/>
    <w:rsid w:val="00233432"/>
    <w:rsid w:val="00233D75"/>
    <w:rsid w:val="00236360"/>
    <w:rsid w:val="00236A3B"/>
    <w:rsid w:val="002411E4"/>
    <w:rsid w:val="002416EA"/>
    <w:rsid w:val="0024292A"/>
    <w:rsid w:val="00244624"/>
    <w:rsid w:val="00244FA2"/>
    <w:rsid w:val="00246AC8"/>
    <w:rsid w:val="00251A1A"/>
    <w:rsid w:val="00251FB0"/>
    <w:rsid w:val="00252E90"/>
    <w:rsid w:val="0025308E"/>
    <w:rsid w:val="0025328A"/>
    <w:rsid w:val="002545A3"/>
    <w:rsid w:val="002559A3"/>
    <w:rsid w:val="00261E65"/>
    <w:rsid w:val="00261EA3"/>
    <w:rsid w:val="002626BD"/>
    <w:rsid w:val="0026286A"/>
    <w:rsid w:val="00263AA3"/>
    <w:rsid w:val="0026462E"/>
    <w:rsid w:val="0026718A"/>
    <w:rsid w:val="00267C62"/>
    <w:rsid w:val="00274E53"/>
    <w:rsid w:val="00275854"/>
    <w:rsid w:val="002769A1"/>
    <w:rsid w:val="00276D1C"/>
    <w:rsid w:val="002772C3"/>
    <w:rsid w:val="00280FC9"/>
    <w:rsid w:val="00281CA2"/>
    <w:rsid w:val="00287AEB"/>
    <w:rsid w:val="002922BA"/>
    <w:rsid w:val="002931DF"/>
    <w:rsid w:val="002964BE"/>
    <w:rsid w:val="00296E4A"/>
    <w:rsid w:val="002A03D6"/>
    <w:rsid w:val="002A1801"/>
    <w:rsid w:val="002A2884"/>
    <w:rsid w:val="002A3B97"/>
    <w:rsid w:val="002A72CD"/>
    <w:rsid w:val="002B047C"/>
    <w:rsid w:val="002B12C5"/>
    <w:rsid w:val="002B1816"/>
    <w:rsid w:val="002B1980"/>
    <w:rsid w:val="002B1D05"/>
    <w:rsid w:val="002B4E93"/>
    <w:rsid w:val="002B7C71"/>
    <w:rsid w:val="002C0A01"/>
    <w:rsid w:val="002C1DCD"/>
    <w:rsid w:val="002C2DF3"/>
    <w:rsid w:val="002C45E9"/>
    <w:rsid w:val="002C4AB5"/>
    <w:rsid w:val="002C50A9"/>
    <w:rsid w:val="002C643A"/>
    <w:rsid w:val="002C69F5"/>
    <w:rsid w:val="002C7EEF"/>
    <w:rsid w:val="002D240A"/>
    <w:rsid w:val="002D3F27"/>
    <w:rsid w:val="002E08C7"/>
    <w:rsid w:val="002E246C"/>
    <w:rsid w:val="002E38C6"/>
    <w:rsid w:val="002E7853"/>
    <w:rsid w:val="002F129C"/>
    <w:rsid w:val="002F2E2C"/>
    <w:rsid w:val="002F328B"/>
    <w:rsid w:val="002F48A0"/>
    <w:rsid w:val="002F4B74"/>
    <w:rsid w:val="00300FDF"/>
    <w:rsid w:val="00302509"/>
    <w:rsid w:val="003038C8"/>
    <w:rsid w:val="00306A93"/>
    <w:rsid w:val="00311EAB"/>
    <w:rsid w:val="00313841"/>
    <w:rsid w:val="00314263"/>
    <w:rsid w:val="003147EB"/>
    <w:rsid w:val="00314982"/>
    <w:rsid w:val="0031684A"/>
    <w:rsid w:val="00321FC3"/>
    <w:rsid w:val="00324581"/>
    <w:rsid w:val="0032660E"/>
    <w:rsid w:val="00326F66"/>
    <w:rsid w:val="00332101"/>
    <w:rsid w:val="00332763"/>
    <w:rsid w:val="00332B2C"/>
    <w:rsid w:val="003342D5"/>
    <w:rsid w:val="00336A47"/>
    <w:rsid w:val="00336F48"/>
    <w:rsid w:val="0034003A"/>
    <w:rsid w:val="00340D34"/>
    <w:rsid w:val="00341889"/>
    <w:rsid w:val="00343EC7"/>
    <w:rsid w:val="003469D5"/>
    <w:rsid w:val="00347A9F"/>
    <w:rsid w:val="00352D56"/>
    <w:rsid w:val="00356C70"/>
    <w:rsid w:val="00356FC9"/>
    <w:rsid w:val="00357260"/>
    <w:rsid w:val="00357D50"/>
    <w:rsid w:val="00363F72"/>
    <w:rsid w:val="0036406F"/>
    <w:rsid w:val="0036418C"/>
    <w:rsid w:val="00364308"/>
    <w:rsid w:val="00365A9F"/>
    <w:rsid w:val="00367DDE"/>
    <w:rsid w:val="00371301"/>
    <w:rsid w:val="00372723"/>
    <w:rsid w:val="00372F41"/>
    <w:rsid w:val="0037338F"/>
    <w:rsid w:val="0037441A"/>
    <w:rsid w:val="00374FB9"/>
    <w:rsid w:val="003753D8"/>
    <w:rsid w:val="003769FC"/>
    <w:rsid w:val="00376BD8"/>
    <w:rsid w:val="00377238"/>
    <w:rsid w:val="003824A5"/>
    <w:rsid w:val="00382EAC"/>
    <w:rsid w:val="00383856"/>
    <w:rsid w:val="00384BC8"/>
    <w:rsid w:val="00390359"/>
    <w:rsid w:val="003908DD"/>
    <w:rsid w:val="0039198C"/>
    <w:rsid w:val="00393F1A"/>
    <w:rsid w:val="00394EFC"/>
    <w:rsid w:val="0039514A"/>
    <w:rsid w:val="00396366"/>
    <w:rsid w:val="003A0291"/>
    <w:rsid w:val="003A0826"/>
    <w:rsid w:val="003A2BFC"/>
    <w:rsid w:val="003A545A"/>
    <w:rsid w:val="003A671E"/>
    <w:rsid w:val="003A6B6F"/>
    <w:rsid w:val="003A6DA6"/>
    <w:rsid w:val="003A7151"/>
    <w:rsid w:val="003A7AE5"/>
    <w:rsid w:val="003A7B30"/>
    <w:rsid w:val="003B2CD9"/>
    <w:rsid w:val="003B3A4A"/>
    <w:rsid w:val="003B3BA0"/>
    <w:rsid w:val="003B5686"/>
    <w:rsid w:val="003B71DA"/>
    <w:rsid w:val="003B7A8E"/>
    <w:rsid w:val="003C21A2"/>
    <w:rsid w:val="003C6032"/>
    <w:rsid w:val="003C6B56"/>
    <w:rsid w:val="003D0112"/>
    <w:rsid w:val="003D08A6"/>
    <w:rsid w:val="003D2AE0"/>
    <w:rsid w:val="003D3323"/>
    <w:rsid w:val="003D440E"/>
    <w:rsid w:val="003D4D61"/>
    <w:rsid w:val="003E198E"/>
    <w:rsid w:val="003E3187"/>
    <w:rsid w:val="003E5837"/>
    <w:rsid w:val="003E66DF"/>
    <w:rsid w:val="003F13CA"/>
    <w:rsid w:val="003F17C5"/>
    <w:rsid w:val="003F17DC"/>
    <w:rsid w:val="003F1D03"/>
    <w:rsid w:val="003F2DE8"/>
    <w:rsid w:val="003F4C91"/>
    <w:rsid w:val="004003A8"/>
    <w:rsid w:val="0040268B"/>
    <w:rsid w:val="0040409E"/>
    <w:rsid w:val="00405BF5"/>
    <w:rsid w:val="00405CC0"/>
    <w:rsid w:val="0040670A"/>
    <w:rsid w:val="00407868"/>
    <w:rsid w:val="00411979"/>
    <w:rsid w:val="00411DD1"/>
    <w:rsid w:val="00413B9D"/>
    <w:rsid w:val="00414582"/>
    <w:rsid w:val="00414BF5"/>
    <w:rsid w:val="004154BB"/>
    <w:rsid w:val="004156F6"/>
    <w:rsid w:val="004215F0"/>
    <w:rsid w:val="00422055"/>
    <w:rsid w:val="00422B63"/>
    <w:rsid w:val="004238CF"/>
    <w:rsid w:val="00430A08"/>
    <w:rsid w:val="004336DB"/>
    <w:rsid w:val="0043669B"/>
    <w:rsid w:val="00436A28"/>
    <w:rsid w:val="004375DC"/>
    <w:rsid w:val="00442499"/>
    <w:rsid w:val="00442D28"/>
    <w:rsid w:val="00443921"/>
    <w:rsid w:val="00450DC1"/>
    <w:rsid w:val="00451CB2"/>
    <w:rsid w:val="00452089"/>
    <w:rsid w:val="0045222E"/>
    <w:rsid w:val="004549BB"/>
    <w:rsid w:val="004562D9"/>
    <w:rsid w:val="00460FB6"/>
    <w:rsid w:val="00461B78"/>
    <w:rsid w:val="004620D0"/>
    <w:rsid w:val="00462992"/>
    <w:rsid w:val="00463296"/>
    <w:rsid w:val="00463656"/>
    <w:rsid w:val="004638FC"/>
    <w:rsid w:val="00463ACC"/>
    <w:rsid w:val="004640B0"/>
    <w:rsid w:val="004653CB"/>
    <w:rsid w:val="0047156B"/>
    <w:rsid w:val="00473601"/>
    <w:rsid w:val="004754A8"/>
    <w:rsid w:val="00476B2B"/>
    <w:rsid w:val="00476E2A"/>
    <w:rsid w:val="0048112A"/>
    <w:rsid w:val="00483BCF"/>
    <w:rsid w:val="004847F0"/>
    <w:rsid w:val="004876E9"/>
    <w:rsid w:val="00490CB1"/>
    <w:rsid w:val="00491913"/>
    <w:rsid w:val="00492B19"/>
    <w:rsid w:val="004931E0"/>
    <w:rsid w:val="00493A45"/>
    <w:rsid w:val="00494C04"/>
    <w:rsid w:val="004962E5"/>
    <w:rsid w:val="00497561"/>
    <w:rsid w:val="004A1CDD"/>
    <w:rsid w:val="004A29D2"/>
    <w:rsid w:val="004A3967"/>
    <w:rsid w:val="004A4371"/>
    <w:rsid w:val="004A4C07"/>
    <w:rsid w:val="004A4D6E"/>
    <w:rsid w:val="004A75A0"/>
    <w:rsid w:val="004B17FE"/>
    <w:rsid w:val="004B2E06"/>
    <w:rsid w:val="004B4BD4"/>
    <w:rsid w:val="004C100F"/>
    <w:rsid w:val="004C1713"/>
    <w:rsid w:val="004C3258"/>
    <w:rsid w:val="004C69E2"/>
    <w:rsid w:val="004C69E5"/>
    <w:rsid w:val="004D0B65"/>
    <w:rsid w:val="004D1BB8"/>
    <w:rsid w:val="004D2FA2"/>
    <w:rsid w:val="004D304F"/>
    <w:rsid w:val="004D5815"/>
    <w:rsid w:val="004D6B87"/>
    <w:rsid w:val="004D7294"/>
    <w:rsid w:val="004E03C9"/>
    <w:rsid w:val="004E29CC"/>
    <w:rsid w:val="004E3F1C"/>
    <w:rsid w:val="004E42F0"/>
    <w:rsid w:val="004E4F99"/>
    <w:rsid w:val="004E5A5A"/>
    <w:rsid w:val="004F2A38"/>
    <w:rsid w:val="004F48AC"/>
    <w:rsid w:val="004F586F"/>
    <w:rsid w:val="004F5F7F"/>
    <w:rsid w:val="004F7065"/>
    <w:rsid w:val="004F71F2"/>
    <w:rsid w:val="00502C62"/>
    <w:rsid w:val="00510BFB"/>
    <w:rsid w:val="00513545"/>
    <w:rsid w:val="00513828"/>
    <w:rsid w:val="00514D2B"/>
    <w:rsid w:val="005154A2"/>
    <w:rsid w:val="005161F7"/>
    <w:rsid w:val="0051635B"/>
    <w:rsid w:val="005167D2"/>
    <w:rsid w:val="00516A59"/>
    <w:rsid w:val="005263BB"/>
    <w:rsid w:val="005269AD"/>
    <w:rsid w:val="00526D22"/>
    <w:rsid w:val="00527DCF"/>
    <w:rsid w:val="0053056E"/>
    <w:rsid w:val="00530ED8"/>
    <w:rsid w:val="005316E2"/>
    <w:rsid w:val="00532BEB"/>
    <w:rsid w:val="005379F6"/>
    <w:rsid w:val="00541444"/>
    <w:rsid w:val="005428E3"/>
    <w:rsid w:val="005477C2"/>
    <w:rsid w:val="00552207"/>
    <w:rsid w:val="00553A80"/>
    <w:rsid w:val="00554457"/>
    <w:rsid w:val="00560619"/>
    <w:rsid w:val="0056185A"/>
    <w:rsid w:val="00565003"/>
    <w:rsid w:val="00565ED0"/>
    <w:rsid w:val="00572D22"/>
    <w:rsid w:val="00572D56"/>
    <w:rsid w:val="00574DAA"/>
    <w:rsid w:val="00576652"/>
    <w:rsid w:val="00576A98"/>
    <w:rsid w:val="00576F7E"/>
    <w:rsid w:val="00577286"/>
    <w:rsid w:val="00577CF1"/>
    <w:rsid w:val="005824F9"/>
    <w:rsid w:val="00582B07"/>
    <w:rsid w:val="00582B3D"/>
    <w:rsid w:val="005843A2"/>
    <w:rsid w:val="00584D17"/>
    <w:rsid w:val="00584EF9"/>
    <w:rsid w:val="00585297"/>
    <w:rsid w:val="00586668"/>
    <w:rsid w:val="00591779"/>
    <w:rsid w:val="00593F28"/>
    <w:rsid w:val="005952E9"/>
    <w:rsid w:val="00595FF8"/>
    <w:rsid w:val="005A00EC"/>
    <w:rsid w:val="005A5203"/>
    <w:rsid w:val="005A52F3"/>
    <w:rsid w:val="005A5722"/>
    <w:rsid w:val="005A6CD5"/>
    <w:rsid w:val="005B0A63"/>
    <w:rsid w:val="005B0E7C"/>
    <w:rsid w:val="005B1182"/>
    <w:rsid w:val="005B34E1"/>
    <w:rsid w:val="005B37CD"/>
    <w:rsid w:val="005B3EB5"/>
    <w:rsid w:val="005B4AEC"/>
    <w:rsid w:val="005B63DE"/>
    <w:rsid w:val="005B73F1"/>
    <w:rsid w:val="005C0235"/>
    <w:rsid w:val="005D0096"/>
    <w:rsid w:val="005D12E3"/>
    <w:rsid w:val="005D2753"/>
    <w:rsid w:val="005D3C16"/>
    <w:rsid w:val="005D54F2"/>
    <w:rsid w:val="005E0C9F"/>
    <w:rsid w:val="005E4845"/>
    <w:rsid w:val="005E5024"/>
    <w:rsid w:val="005F26C1"/>
    <w:rsid w:val="005F3226"/>
    <w:rsid w:val="00600CF4"/>
    <w:rsid w:val="00605265"/>
    <w:rsid w:val="006058F0"/>
    <w:rsid w:val="006108E9"/>
    <w:rsid w:val="00611DAD"/>
    <w:rsid w:val="00613CFF"/>
    <w:rsid w:val="00614F88"/>
    <w:rsid w:val="00616EB7"/>
    <w:rsid w:val="00617B20"/>
    <w:rsid w:val="006204E8"/>
    <w:rsid w:val="00620EA0"/>
    <w:rsid w:val="006234A5"/>
    <w:rsid w:val="00624910"/>
    <w:rsid w:val="006344E4"/>
    <w:rsid w:val="00635686"/>
    <w:rsid w:val="00635BC6"/>
    <w:rsid w:val="00636550"/>
    <w:rsid w:val="00641394"/>
    <w:rsid w:val="00644452"/>
    <w:rsid w:val="006473F4"/>
    <w:rsid w:val="00647EA4"/>
    <w:rsid w:val="0065165A"/>
    <w:rsid w:val="00653FB5"/>
    <w:rsid w:val="00655738"/>
    <w:rsid w:val="006604FF"/>
    <w:rsid w:val="0066069B"/>
    <w:rsid w:val="00661183"/>
    <w:rsid w:val="0066202E"/>
    <w:rsid w:val="00662A18"/>
    <w:rsid w:val="00662F33"/>
    <w:rsid w:val="00662FE7"/>
    <w:rsid w:val="00663196"/>
    <w:rsid w:val="006671F8"/>
    <w:rsid w:val="0066756A"/>
    <w:rsid w:val="00671843"/>
    <w:rsid w:val="006735CC"/>
    <w:rsid w:val="00674426"/>
    <w:rsid w:val="00676DEC"/>
    <w:rsid w:val="00677677"/>
    <w:rsid w:val="00681CA9"/>
    <w:rsid w:val="006822E5"/>
    <w:rsid w:val="006826A2"/>
    <w:rsid w:val="0068319D"/>
    <w:rsid w:val="0068571A"/>
    <w:rsid w:val="00686559"/>
    <w:rsid w:val="00686574"/>
    <w:rsid w:val="0069129F"/>
    <w:rsid w:val="00691435"/>
    <w:rsid w:val="006937D7"/>
    <w:rsid w:val="00693DC7"/>
    <w:rsid w:val="00695699"/>
    <w:rsid w:val="00695992"/>
    <w:rsid w:val="00696808"/>
    <w:rsid w:val="006A07DF"/>
    <w:rsid w:val="006A09DF"/>
    <w:rsid w:val="006A41A7"/>
    <w:rsid w:val="006B0999"/>
    <w:rsid w:val="006B0C37"/>
    <w:rsid w:val="006B24ED"/>
    <w:rsid w:val="006B570A"/>
    <w:rsid w:val="006B57BE"/>
    <w:rsid w:val="006C4A1F"/>
    <w:rsid w:val="006C6C6A"/>
    <w:rsid w:val="006D0717"/>
    <w:rsid w:val="006D37D4"/>
    <w:rsid w:val="006D7835"/>
    <w:rsid w:val="006E05F6"/>
    <w:rsid w:val="006E070E"/>
    <w:rsid w:val="006E172B"/>
    <w:rsid w:val="006E24FE"/>
    <w:rsid w:val="006E33C2"/>
    <w:rsid w:val="006E5048"/>
    <w:rsid w:val="006E67E4"/>
    <w:rsid w:val="006E7542"/>
    <w:rsid w:val="006F278C"/>
    <w:rsid w:val="006F2A13"/>
    <w:rsid w:val="006F612A"/>
    <w:rsid w:val="00700A4B"/>
    <w:rsid w:val="007011FD"/>
    <w:rsid w:val="00701B69"/>
    <w:rsid w:val="00702134"/>
    <w:rsid w:val="00702EDE"/>
    <w:rsid w:val="00703858"/>
    <w:rsid w:val="00704478"/>
    <w:rsid w:val="007044EE"/>
    <w:rsid w:val="00706DE8"/>
    <w:rsid w:val="00710C78"/>
    <w:rsid w:val="00710E67"/>
    <w:rsid w:val="007126D4"/>
    <w:rsid w:val="00715457"/>
    <w:rsid w:val="007166C8"/>
    <w:rsid w:val="00716F4C"/>
    <w:rsid w:val="00716F8B"/>
    <w:rsid w:val="007221EC"/>
    <w:rsid w:val="00726B30"/>
    <w:rsid w:val="0072740D"/>
    <w:rsid w:val="00727E88"/>
    <w:rsid w:val="00730C0A"/>
    <w:rsid w:val="007311AE"/>
    <w:rsid w:val="00735A46"/>
    <w:rsid w:val="00735BE7"/>
    <w:rsid w:val="00737B6C"/>
    <w:rsid w:val="00740E71"/>
    <w:rsid w:val="00746476"/>
    <w:rsid w:val="00752DDB"/>
    <w:rsid w:val="0075338D"/>
    <w:rsid w:val="00755F5E"/>
    <w:rsid w:val="00756315"/>
    <w:rsid w:val="00760630"/>
    <w:rsid w:val="0076107F"/>
    <w:rsid w:val="0076155E"/>
    <w:rsid w:val="007615F8"/>
    <w:rsid w:val="007623DF"/>
    <w:rsid w:val="00762481"/>
    <w:rsid w:val="00762502"/>
    <w:rsid w:val="0076274F"/>
    <w:rsid w:val="00763F0F"/>
    <w:rsid w:val="0076402B"/>
    <w:rsid w:val="0076494F"/>
    <w:rsid w:val="00771BF5"/>
    <w:rsid w:val="0077210A"/>
    <w:rsid w:val="00772922"/>
    <w:rsid w:val="00772A8F"/>
    <w:rsid w:val="007731BD"/>
    <w:rsid w:val="00776E53"/>
    <w:rsid w:val="00777D72"/>
    <w:rsid w:val="0078217F"/>
    <w:rsid w:val="00783A26"/>
    <w:rsid w:val="007901CD"/>
    <w:rsid w:val="0079023F"/>
    <w:rsid w:val="007904E2"/>
    <w:rsid w:val="00790790"/>
    <w:rsid w:val="00791D8B"/>
    <w:rsid w:val="00792703"/>
    <w:rsid w:val="007940D7"/>
    <w:rsid w:val="007944DF"/>
    <w:rsid w:val="007959A3"/>
    <w:rsid w:val="00796F4E"/>
    <w:rsid w:val="007A1DAE"/>
    <w:rsid w:val="007A4277"/>
    <w:rsid w:val="007B51EE"/>
    <w:rsid w:val="007B54A1"/>
    <w:rsid w:val="007C15F8"/>
    <w:rsid w:val="007C2BFE"/>
    <w:rsid w:val="007D00C4"/>
    <w:rsid w:val="007D1A51"/>
    <w:rsid w:val="007D6E52"/>
    <w:rsid w:val="007E0440"/>
    <w:rsid w:val="007E0FD8"/>
    <w:rsid w:val="007E340B"/>
    <w:rsid w:val="007E3DB5"/>
    <w:rsid w:val="007E5B54"/>
    <w:rsid w:val="007F2C80"/>
    <w:rsid w:val="00803AE7"/>
    <w:rsid w:val="00803D98"/>
    <w:rsid w:val="008063A0"/>
    <w:rsid w:val="00813292"/>
    <w:rsid w:val="00813C85"/>
    <w:rsid w:val="00814C87"/>
    <w:rsid w:val="00816681"/>
    <w:rsid w:val="008220E1"/>
    <w:rsid w:val="00824549"/>
    <w:rsid w:val="008255F6"/>
    <w:rsid w:val="00826F5D"/>
    <w:rsid w:val="008314A2"/>
    <w:rsid w:val="008323B2"/>
    <w:rsid w:val="0083383B"/>
    <w:rsid w:val="008364C0"/>
    <w:rsid w:val="00836CBC"/>
    <w:rsid w:val="008373FC"/>
    <w:rsid w:val="00842C8A"/>
    <w:rsid w:val="0084405E"/>
    <w:rsid w:val="0084535A"/>
    <w:rsid w:val="00851AE6"/>
    <w:rsid w:val="00851B96"/>
    <w:rsid w:val="00853253"/>
    <w:rsid w:val="008532D1"/>
    <w:rsid w:val="008573EC"/>
    <w:rsid w:val="0086070D"/>
    <w:rsid w:val="00862DF2"/>
    <w:rsid w:val="00862EE3"/>
    <w:rsid w:val="00863B7E"/>
    <w:rsid w:val="00864759"/>
    <w:rsid w:val="00867154"/>
    <w:rsid w:val="00867559"/>
    <w:rsid w:val="0087235B"/>
    <w:rsid w:val="00874689"/>
    <w:rsid w:val="00874726"/>
    <w:rsid w:val="00875D29"/>
    <w:rsid w:val="00880502"/>
    <w:rsid w:val="00880FBE"/>
    <w:rsid w:val="00881510"/>
    <w:rsid w:val="00881B46"/>
    <w:rsid w:val="00882437"/>
    <w:rsid w:val="00882DEE"/>
    <w:rsid w:val="0088535F"/>
    <w:rsid w:val="008864D6"/>
    <w:rsid w:val="00886C3D"/>
    <w:rsid w:val="00890E3F"/>
    <w:rsid w:val="00890EBF"/>
    <w:rsid w:val="00893840"/>
    <w:rsid w:val="0089518E"/>
    <w:rsid w:val="0089531A"/>
    <w:rsid w:val="00896852"/>
    <w:rsid w:val="008A1E6C"/>
    <w:rsid w:val="008A2D88"/>
    <w:rsid w:val="008A3F05"/>
    <w:rsid w:val="008A4E83"/>
    <w:rsid w:val="008A51AE"/>
    <w:rsid w:val="008A5601"/>
    <w:rsid w:val="008A6CB1"/>
    <w:rsid w:val="008A717F"/>
    <w:rsid w:val="008A76D5"/>
    <w:rsid w:val="008B0903"/>
    <w:rsid w:val="008B0D00"/>
    <w:rsid w:val="008B40E0"/>
    <w:rsid w:val="008B45B1"/>
    <w:rsid w:val="008B523F"/>
    <w:rsid w:val="008C2683"/>
    <w:rsid w:val="008C3199"/>
    <w:rsid w:val="008C33C7"/>
    <w:rsid w:val="008C37BA"/>
    <w:rsid w:val="008C54C8"/>
    <w:rsid w:val="008D0EB6"/>
    <w:rsid w:val="008D21C8"/>
    <w:rsid w:val="008D2C88"/>
    <w:rsid w:val="008D33C6"/>
    <w:rsid w:val="008D35F7"/>
    <w:rsid w:val="008D4397"/>
    <w:rsid w:val="008D6EB7"/>
    <w:rsid w:val="008D7F46"/>
    <w:rsid w:val="008E0577"/>
    <w:rsid w:val="008E1D34"/>
    <w:rsid w:val="008E4AF8"/>
    <w:rsid w:val="008E5BBF"/>
    <w:rsid w:val="008E7BB9"/>
    <w:rsid w:val="008F13ED"/>
    <w:rsid w:val="008F25B6"/>
    <w:rsid w:val="008F561D"/>
    <w:rsid w:val="008F6869"/>
    <w:rsid w:val="009014E0"/>
    <w:rsid w:val="0090353F"/>
    <w:rsid w:val="00903F50"/>
    <w:rsid w:val="00904932"/>
    <w:rsid w:val="00906BF4"/>
    <w:rsid w:val="009106E2"/>
    <w:rsid w:val="009123D5"/>
    <w:rsid w:val="009147D8"/>
    <w:rsid w:val="00914F86"/>
    <w:rsid w:val="00916AB2"/>
    <w:rsid w:val="0092266D"/>
    <w:rsid w:val="009259E7"/>
    <w:rsid w:val="00930BB1"/>
    <w:rsid w:val="009329D7"/>
    <w:rsid w:val="00936B76"/>
    <w:rsid w:val="0093754C"/>
    <w:rsid w:val="009403E5"/>
    <w:rsid w:val="00940C6E"/>
    <w:rsid w:val="0094238C"/>
    <w:rsid w:val="00942670"/>
    <w:rsid w:val="00946092"/>
    <w:rsid w:val="00946308"/>
    <w:rsid w:val="009471DF"/>
    <w:rsid w:val="00947AAF"/>
    <w:rsid w:val="00950B96"/>
    <w:rsid w:val="009556B2"/>
    <w:rsid w:val="009570BB"/>
    <w:rsid w:val="00961E85"/>
    <w:rsid w:val="00962E7B"/>
    <w:rsid w:val="00963B23"/>
    <w:rsid w:val="00963CE1"/>
    <w:rsid w:val="00965CD8"/>
    <w:rsid w:val="00965EC1"/>
    <w:rsid w:val="00966CAE"/>
    <w:rsid w:val="009717A9"/>
    <w:rsid w:val="00971B13"/>
    <w:rsid w:val="00973BEF"/>
    <w:rsid w:val="0097754D"/>
    <w:rsid w:val="00981237"/>
    <w:rsid w:val="009818F4"/>
    <w:rsid w:val="00981C59"/>
    <w:rsid w:val="009832C5"/>
    <w:rsid w:val="00986AF9"/>
    <w:rsid w:val="009901CC"/>
    <w:rsid w:val="00993D48"/>
    <w:rsid w:val="009956E9"/>
    <w:rsid w:val="0099595B"/>
    <w:rsid w:val="00995996"/>
    <w:rsid w:val="009A4E4A"/>
    <w:rsid w:val="009A614E"/>
    <w:rsid w:val="009A68D2"/>
    <w:rsid w:val="009A6D5E"/>
    <w:rsid w:val="009B0DE3"/>
    <w:rsid w:val="009B16F8"/>
    <w:rsid w:val="009B24B0"/>
    <w:rsid w:val="009B3C28"/>
    <w:rsid w:val="009B4938"/>
    <w:rsid w:val="009B5CE4"/>
    <w:rsid w:val="009B6F83"/>
    <w:rsid w:val="009C0DB1"/>
    <w:rsid w:val="009C10D5"/>
    <w:rsid w:val="009C117E"/>
    <w:rsid w:val="009C48BE"/>
    <w:rsid w:val="009C4A12"/>
    <w:rsid w:val="009C4ED5"/>
    <w:rsid w:val="009C5D9C"/>
    <w:rsid w:val="009C6545"/>
    <w:rsid w:val="009C6754"/>
    <w:rsid w:val="009C7701"/>
    <w:rsid w:val="009C7DC9"/>
    <w:rsid w:val="009D0A5B"/>
    <w:rsid w:val="009D2788"/>
    <w:rsid w:val="009D3798"/>
    <w:rsid w:val="009D4504"/>
    <w:rsid w:val="009E1FE5"/>
    <w:rsid w:val="009E6A78"/>
    <w:rsid w:val="009E6F73"/>
    <w:rsid w:val="009E7C94"/>
    <w:rsid w:val="009F0C9A"/>
    <w:rsid w:val="009F16BE"/>
    <w:rsid w:val="009F1EB0"/>
    <w:rsid w:val="009F2251"/>
    <w:rsid w:val="009F2D08"/>
    <w:rsid w:val="009F3907"/>
    <w:rsid w:val="009F440E"/>
    <w:rsid w:val="009F5959"/>
    <w:rsid w:val="009F60B3"/>
    <w:rsid w:val="009F61DE"/>
    <w:rsid w:val="009F62AA"/>
    <w:rsid w:val="009F7D1F"/>
    <w:rsid w:val="00A00459"/>
    <w:rsid w:val="00A0060C"/>
    <w:rsid w:val="00A01657"/>
    <w:rsid w:val="00A03304"/>
    <w:rsid w:val="00A037F2"/>
    <w:rsid w:val="00A06070"/>
    <w:rsid w:val="00A06F17"/>
    <w:rsid w:val="00A079B2"/>
    <w:rsid w:val="00A10003"/>
    <w:rsid w:val="00A10F77"/>
    <w:rsid w:val="00A216A9"/>
    <w:rsid w:val="00A22463"/>
    <w:rsid w:val="00A22EAB"/>
    <w:rsid w:val="00A243A8"/>
    <w:rsid w:val="00A24524"/>
    <w:rsid w:val="00A26C6C"/>
    <w:rsid w:val="00A27708"/>
    <w:rsid w:val="00A27E46"/>
    <w:rsid w:val="00A31018"/>
    <w:rsid w:val="00A35CA9"/>
    <w:rsid w:val="00A368BB"/>
    <w:rsid w:val="00A36AA6"/>
    <w:rsid w:val="00A40E44"/>
    <w:rsid w:val="00A419B0"/>
    <w:rsid w:val="00A44598"/>
    <w:rsid w:val="00A44B3F"/>
    <w:rsid w:val="00A47F1F"/>
    <w:rsid w:val="00A512E9"/>
    <w:rsid w:val="00A54896"/>
    <w:rsid w:val="00A5694C"/>
    <w:rsid w:val="00A56C6F"/>
    <w:rsid w:val="00A642DF"/>
    <w:rsid w:val="00A65791"/>
    <w:rsid w:val="00A6585A"/>
    <w:rsid w:val="00A65BCC"/>
    <w:rsid w:val="00A67D08"/>
    <w:rsid w:val="00A72C2C"/>
    <w:rsid w:val="00A737F3"/>
    <w:rsid w:val="00A75297"/>
    <w:rsid w:val="00A77E77"/>
    <w:rsid w:val="00A80514"/>
    <w:rsid w:val="00A80CB7"/>
    <w:rsid w:val="00A8142D"/>
    <w:rsid w:val="00A81AAF"/>
    <w:rsid w:val="00A82A17"/>
    <w:rsid w:val="00A83BAC"/>
    <w:rsid w:val="00A9085A"/>
    <w:rsid w:val="00A908AB"/>
    <w:rsid w:val="00A90B01"/>
    <w:rsid w:val="00A91B2A"/>
    <w:rsid w:val="00A92DAA"/>
    <w:rsid w:val="00A931F5"/>
    <w:rsid w:val="00A93E89"/>
    <w:rsid w:val="00A94333"/>
    <w:rsid w:val="00A95D03"/>
    <w:rsid w:val="00A9773C"/>
    <w:rsid w:val="00A97942"/>
    <w:rsid w:val="00AA32DD"/>
    <w:rsid w:val="00AA43B8"/>
    <w:rsid w:val="00AA52F3"/>
    <w:rsid w:val="00AA6478"/>
    <w:rsid w:val="00AA6880"/>
    <w:rsid w:val="00AA7CD8"/>
    <w:rsid w:val="00AB10D0"/>
    <w:rsid w:val="00AB2103"/>
    <w:rsid w:val="00AB29ED"/>
    <w:rsid w:val="00AB3A05"/>
    <w:rsid w:val="00AB4A81"/>
    <w:rsid w:val="00AC020B"/>
    <w:rsid w:val="00AC1D7D"/>
    <w:rsid w:val="00AC250E"/>
    <w:rsid w:val="00AC3ACF"/>
    <w:rsid w:val="00AC68E4"/>
    <w:rsid w:val="00AD15AE"/>
    <w:rsid w:val="00AD2402"/>
    <w:rsid w:val="00AD3072"/>
    <w:rsid w:val="00AD3AA5"/>
    <w:rsid w:val="00AD4688"/>
    <w:rsid w:val="00AD6509"/>
    <w:rsid w:val="00AE0A4B"/>
    <w:rsid w:val="00AE67CC"/>
    <w:rsid w:val="00AE6C20"/>
    <w:rsid w:val="00AE7550"/>
    <w:rsid w:val="00AF079F"/>
    <w:rsid w:val="00AF16BE"/>
    <w:rsid w:val="00AF3AD5"/>
    <w:rsid w:val="00AF42D7"/>
    <w:rsid w:val="00AF5818"/>
    <w:rsid w:val="00AF5954"/>
    <w:rsid w:val="00AF6E84"/>
    <w:rsid w:val="00AF7544"/>
    <w:rsid w:val="00B0100A"/>
    <w:rsid w:val="00B02069"/>
    <w:rsid w:val="00B03FAB"/>
    <w:rsid w:val="00B047E6"/>
    <w:rsid w:val="00B103FE"/>
    <w:rsid w:val="00B104E0"/>
    <w:rsid w:val="00B13114"/>
    <w:rsid w:val="00B13BC2"/>
    <w:rsid w:val="00B14766"/>
    <w:rsid w:val="00B1532A"/>
    <w:rsid w:val="00B207EC"/>
    <w:rsid w:val="00B223F4"/>
    <w:rsid w:val="00B22CD8"/>
    <w:rsid w:val="00B22E0D"/>
    <w:rsid w:val="00B23002"/>
    <w:rsid w:val="00B254DA"/>
    <w:rsid w:val="00B26A7C"/>
    <w:rsid w:val="00B26AC6"/>
    <w:rsid w:val="00B26D49"/>
    <w:rsid w:val="00B27DBA"/>
    <w:rsid w:val="00B30D8A"/>
    <w:rsid w:val="00B33D8B"/>
    <w:rsid w:val="00B3448F"/>
    <w:rsid w:val="00B34BF8"/>
    <w:rsid w:val="00B370B5"/>
    <w:rsid w:val="00B3776B"/>
    <w:rsid w:val="00B420A9"/>
    <w:rsid w:val="00B42803"/>
    <w:rsid w:val="00B43B50"/>
    <w:rsid w:val="00B44FBA"/>
    <w:rsid w:val="00B454BE"/>
    <w:rsid w:val="00B46788"/>
    <w:rsid w:val="00B46ADE"/>
    <w:rsid w:val="00B50355"/>
    <w:rsid w:val="00B5337D"/>
    <w:rsid w:val="00B57F5F"/>
    <w:rsid w:val="00B60984"/>
    <w:rsid w:val="00B63A24"/>
    <w:rsid w:val="00B647F3"/>
    <w:rsid w:val="00B6498E"/>
    <w:rsid w:val="00B64A1E"/>
    <w:rsid w:val="00B65221"/>
    <w:rsid w:val="00B7172B"/>
    <w:rsid w:val="00B72A22"/>
    <w:rsid w:val="00B735D8"/>
    <w:rsid w:val="00B75759"/>
    <w:rsid w:val="00B75B06"/>
    <w:rsid w:val="00B769AE"/>
    <w:rsid w:val="00B76E05"/>
    <w:rsid w:val="00B80376"/>
    <w:rsid w:val="00B8302B"/>
    <w:rsid w:val="00B843AA"/>
    <w:rsid w:val="00B84C2C"/>
    <w:rsid w:val="00B86126"/>
    <w:rsid w:val="00B86BDD"/>
    <w:rsid w:val="00B878B5"/>
    <w:rsid w:val="00B918F8"/>
    <w:rsid w:val="00B93547"/>
    <w:rsid w:val="00B97900"/>
    <w:rsid w:val="00BA095C"/>
    <w:rsid w:val="00BA0A0F"/>
    <w:rsid w:val="00BA1184"/>
    <w:rsid w:val="00BA1285"/>
    <w:rsid w:val="00BA6377"/>
    <w:rsid w:val="00BA799F"/>
    <w:rsid w:val="00BB0397"/>
    <w:rsid w:val="00BB0946"/>
    <w:rsid w:val="00BB0E85"/>
    <w:rsid w:val="00BB135E"/>
    <w:rsid w:val="00BB1BAE"/>
    <w:rsid w:val="00BB2615"/>
    <w:rsid w:val="00BB365C"/>
    <w:rsid w:val="00BB410B"/>
    <w:rsid w:val="00BB48A9"/>
    <w:rsid w:val="00BB7AF5"/>
    <w:rsid w:val="00BC14F8"/>
    <w:rsid w:val="00BC26FF"/>
    <w:rsid w:val="00BC4771"/>
    <w:rsid w:val="00BC575B"/>
    <w:rsid w:val="00BC6D6A"/>
    <w:rsid w:val="00BD3B02"/>
    <w:rsid w:val="00BD5892"/>
    <w:rsid w:val="00BD648B"/>
    <w:rsid w:val="00BE09E1"/>
    <w:rsid w:val="00BE3F42"/>
    <w:rsid w:val="00BE3FA1"/>
    <w:rsid w:val="00BE4623"/>
    <w:rsid w:val="00BE7660"/>
    <w:rsid w:val="00BF253B"/>
    <w:rsid w:val="00BF46B2"/>
    <w:rsid w:val="00BF7F5B"/>
    <w:rsid w:val="00C00EAB"/>
    <w:rsid w:val="00C01A06"/>
    <w:rsid w:val="00C02273"/>
    <w:rsid w:val="00C02DC9"/>
    <w:rsid w:val="00C03C32"/>
    <w:rsid w:val="00C06273"/>
    <w:rsid w:val="00C06BB9"/>
    <w:rsid w:val="00C07749"/>
    <w:rsid w:val="00C15AFE"/>
    <w:rsid w:val="00C17A8D"/>
    <w:rsid w:val="00C20100"/>
    <w:rsid w:val="00C20E58"/>
    <w:rsid w:val="00C21F9A"/>
    <w:rsid w:val="00C23D5A"/>
    <w:rsid w:val="00C23E81"/>
    <w:rsid w:val="00C23F84"/>
    <w:rsid w:val="00C242E8"/>
    <w:rsid w:val="00C248A7"/>
    <w:rsid w:val="00C2511B"/>
    <w:rsid w:val="00C25B0C"/>
    <w:rsid w:val="00C26CFE"/>
    <w:rsid w:val="00C308E9"/>
    <w:rsid w:val="00C317B7"/>
    <w:rsid w:val="00C37B95"/>
    <w:rsid w:val="00C37D39"/>
    <w:rsid w:val="00C40689"/>
    <w:rsid w:val="00C40926"/>
    <w:rsid w:val="00C41CDD"/>
    <w:rsid w:val="00C433BD"/>
    <w:rsid w:val="00C43424"/>
    <w:rsid w:val="00C44015"/>
    <w:rsid w:val="00C440A9"/>
    <w:rsid w:val="00C4499C"/>
    <w:rsid w:val="00C5022A"/>
    <w:rsid w:val="00C502A5"/>
    <w:rsid w:val="00C50DBE"/>
    <w:rsid w:val="00C52873"/>
    <w:rsid w:val="00C533B3"/>
    <w:rsid w:val="00C53A2B"/>
    <w:rsid w:val="00C54BCD"/>
    <w:rsid w:val="00C54D33"/>
    <w:rsid w:val="00C54FA8"/>
    <w:rsid w:val="00C553E8"/>
    <w:rsid w:val="00C55932"/>
    <w:rsid w:val="00C572E2"/>
    <w:rsid w:val="00C61A53"/>
    <w:rsid w:val="00C65DE0"/>
    <w:rsid w:val="00C72803"/>
    <w:rsid w:val="00C734C8"/>
    <w:rsid w:val="00C7461C"/>
    <w:rsid w:val="00C74FE8"/>
    <w:rsid w:val="00C80045"/>
    <w:rsid w:val="00C80726"/>
    <w:rsid w:val="00C8126E"/>
    <w:rsid w:val="00C82325"/>
    <w:rsid w:val="00C856C0"/>
    <w:rsid w:val="00C85CAE"/>
    <w:rsid w:val="00C8614E"/>
    <w:rsid w:val="00C8739A"/>
    <w:rsid w:val="00C91250"/>
    <w:rsid w:val="00C91F87"/>
    <w:rsid w:val="00C93A5F"/>
    <w:rsid w:val="00C9452A"/>
    <w:rsid w:val="00C96706"/>
    <w:rsid w:val="00CA1325"/>
    <w:rsid w:val="00CA279B"/>
    <w:rsid w:val="00CA2ADE"/>
    <w:rsid w:val="00CA45F1"/>
    <w:rsid w:val="00CA4E73"/>
    <w:rsid w:val="00CA52E5"/>
    <w:rsid w:val="00CA670B"/>
    <w:rsid w:val="00CA7FD5"/>
    <w:rsid w:val="00CB0112"/>
    <w:rsid w:val="00CB1937"/>
    <w:rsid w:val="00CB2A9E"/>
    <w:rsid w:val="00CB4641"/>
    <w:rsid w:val="00CB498A"/>
    <w:rsid w:val="00CB5123"/>
    <w:rsid w:val="00CC1C6D"/>
    <w:rsid w:val="00CC36EC"/>
    <w:rsid w:val="00CC6F39"/>
    <w:rsid w:val="00CC7D05"/>
    <w:rsid w:val="00CC7D2C"/>
    <w:rsid w:val="00CD0B4C"/>
    <w:rsid w:val="00CD281C"/>
    <w:rsid w:val="00CD2921"/>
    <w:rsid w:val="00CD2F80"/>
    <w:rsid w:val="00CD43E4"/>
    <w:rsid w:val="00CD5130"/>
    <w:rsid w:val="00CD5E33"/>
    <w:rsid w:val="00CD63E6"/>
    <w:rsid w:val="00CD7C0C"/>
    <w:rsid w:val="00CD7C6F"/>
    <w:rsid w:val="00CE08BA"/>
    <w:rsid w:val="00CE13A1"/>
    <w:rsid w:val="00CE1E4A"/>
    <w:rsid w:val="00CE28E4"/>
    <w:rsid w:val="00CE3A5B"/>
    <w:rsid w:val="00CE3B4A"/>
    <w:rsid w:val="00CE55BC"/>
    <w:rsid w:val="00CE7717"/>
    <w:rsid w:val="00CE7B2A"/>
    <w:rsid w:val="00CF1C14"/>
    <w:rsid w:val="00CF4FB6"/>
    <w:rsid w:val="00D01033"/>
    <w:rsid w:val="00D013BD"/>
    <w:rsid w:val="00D0283D"/>
    <w:rsid w:val="00D030B3"/>
    <w:rsid w:val="00D033B8"/>
    <w:rsid w:val="00D03F12"/>
    <w:rsid w:val="00D06256"/>
    <w:rsid w:val="00D06663"/>
    <w:rsid w:val="00D10FA6"/>
    <w:rsid w:val="00D1541C"/>
    <w:rsid w:val="00D169DD"/>
    <w:rsid w:val="00D17F77"/>
    <w:rsid w:val="00D23533"/>
    <w:rsid w:val="00D306AA"/>
    <w:rsid w:val="00D323AE"/>
    <w:rsid w:val="00D33D10"/>
    <w:rsid w:val="00D341C2"/>
    <w:rsid w:val="00D351DC"/>
    <w:rsid w:val="00D3756C"/>
    <w:rsid w:val="00D44579"/>
    <w:rsid w:val="00D44F59"/>
    <w:rsid w:val="00D457D2"/>
    <w:rsid w:val="00D45B33"/>
    <w:rsid w:val="00D478F9"/>
    <w:rsid w:val="00D50093"/>
    <w:rsid w:val="00D50A1B"/>
    <w:rsid w:val="00D50E75"/>
    <w:rsid w:val="00D51A3D"/>
    <w:rsid w:val="00D54790"/>
    <w:rsid w:val="00D61ECB"/>
    <w:rsid w:val="00D61F6B"/>
    <w:rsid w:val="00D62CA7"/>
    <w:rsid w:val="00D63071"/>
    <w:rsid w:val="00D64CA9"/>
    <w:rsid w:val="00D657E9"/>
    <w:rsid w:val="00D66F37"/>
    <w:rsid w:val="00D7047C"/>
    <w:rsid w:val="00D70ED1"/>
    <w:rsid w:val="00D71B61"/>
    <w:rsid w:val="00D71C9A"/>
    <w:rsid w:val="00D71F76"/>
    <w:rsid w:val="00D72252"/>
    <w:rsid w:val="00D73086"/>
    <w:rsid w:val="00D73776"/>
    <w:rsid w:val="00D73D35"/>
    <w:rsid w:val="00D77241"/>
    <w:rsid w:val="00D8007F"/>
    <w:rsid w:val="00D800F1"/>
    <w:rsid w:val="00D80707"/>
    <w:rsid w:val="00D808F1"/>
    <w:rsid w:val="00D8133F"/>
    <w:rsid w:val="00D84838"/>
    <w:rsid w:val="00D862FB"/>
    <w:rsid w:val="00D86C63"/>
    <w:rsid w:val="00D87E69"/>
    <w:rsid w:val="00D902FC"/>
    <w:rsid w:val="00D93B6D"/>
    <w:rsid w:val="00D9428F"/>
    <w:rsid w:val="00D95752"/>
    <w:rsid w:val="00D9637E"/>
    <w:rsid w:val="00DA0F67"/>
    <w:rsid w:val="00DA2774"/>
    <w:rsid w:val="00DA2A66"/>
    <w:rsid w:val="00DA5425"/>
    <w:rsid w:val="00DA7D90"/>
    <w:rsid w:val="00DB2BDA"/>
    <w:rsid w:val="00DB7D00"/>
    <w:rsid w:val="00DC1D0A"/>
    <w:rsid w:val="00DC276B"/>
    <w:rsid w:val="00DC344E"/>
    <w:rsid w:val="00DC77CD"/>
    <w:rsid w:val="00DD2149"/>
    <w:rsid w:val="00DD2664"/>
    <w:rsid w:val="00DD52CF"/>
    <w:rsid w:val="00DD7028"/>
    <w:rsid w:val="00DD7138"/>
    <w:rsid w:val="00DE0000"/>
    <w:rsid w:val="00DE04CD"/>
    <w:rsid w:val="00DE3A8A"/>
    <w:rsid w:val="00DE5E11"/>
    <w:rsid w:val="00DF0EAC"/>
    <w:rsid w:val="00DF3DFA"/>
    <w:rsid w:val="00DF49D5"/>
    <w:rsid w:val="00DF5748"/>
    <w:rsid w:val="00DF6290"/>
    <w:rsid w:val="00DF690E"/>
    <w:rsid w:val="00DF6CE0"/>
    <w:rsid w:val="00E03211"/>
    <w:rsid w:val="00E043B4"/>
    <w:rsid w:val="00E07220"/>
    <w:rsid w:val="00E072DD"/>
    <w:rsid w:val="00E10ED1"/>
    <w:rsid w:val="00E1129D"/>
    <w:rsid w:val="00E13D35"/>
    <w:rsid w:val="00E1496C"/>
    <w:rsid w:val="00E21D8C"/>
    <w:rsid w:val="00E22470"/>
    <w:rsid w:val="00E23FC2"/>
    <w:rsid w:val="00E244D1"/>
    <w:rsid w:val="00E25A9C"/>
    <w:rsid w:val="00E261E6"/>
    <w:rsid w:val="00E2795E"/>
    <w:rsid w:val="00E30187"/>
    <w:rsid w:val="00E33486"/>
    <w:rsid w:val="00E3351F"/>
    <w:rsid w:val="00E347A7"/>
    <w:rsid w:val="00E3738B"/>
    <w:rsid w:val="00E42365"/>
    <w:rsid w:val="00E428F5"/>
    <w:rsid w:val="00E42913"/>
    <w:rsid w:val="00E434D3"/>
    <w:rsid w:val="00E43638"/>
    <w:rsid w:val="00E4720F"/>
    <w:rsid w:val="00E5084C"/>
    <w:rsid w:val="00E50F8E"/>
    <w:rsid w:val="00E51884"/>
    <w:rsid w:val="00E53C3B"/>
    <w:rsid w:val="00E551B0"/>
    <w:rsid w:val="00E5563F"/>
    <w:rsid w:val="00E55AAC"/>
    <w:rsid w:val="00E571EC"/>
    <w:rsid w:val="00E57C72"/>
    <w:rsid w:val="00E605BD"/>
    <w:rsid w:val="00E60CA2"/>
    <w:rsid w:val="00E6194F"/>
    <w:rsid w:val="00E630A8"/>
    <w:rsid w:val="00E65EE8"/>
    <w:rsid w:val="00E66AF9"/>
    <w:rsid w:val="00E70A60"/>
    <w:rsid w:val="00E71E44"/>
    <w:rsid w:val="00E724C7"/>
    <w:rsid w:val="00E72AE3"/>
    <w:rsid w:val="00E73C3C"/>
    <w:rsid w:val="00E74770"/>
    <w:rsid w:val="00E779EB"/>
    <w:rsid w:val="00E81546"/>
    <w:rsid w:val="00E827C7"/>
    <w:rsid w:val="00E82A78"/>
    <w:rsid w:val="00E8482F"/>
    <w:rsid w:val="00E86D8C"/>
    <w:rsid w:val="00E8769E"/>
    <w:rsid w:val="00E87C22"/>
    <w:rsid w:val="00E90977"/>
    <w:rsid w:val="00E91375"/>
    <w:rsid w:val="00E945A8"/>
    <w:rsid w:val="00E96F31"/>
    <w:rsid w:val="00E973D1"/>
    <w:rsid w:val="00EA1EC7"/>
    <w:rsid w:val="00EA5039"/>
    <w:rsid w:val="00EA5A64"/>
    <w:rsid w:val="00EA5E1E"/>
    <w:rsid w:val="00EA6A6C"/>
    <w:rsid w:val="00EB04E5"/>
    <w:rsid w:val="00EB1D30"/>
    <w:rsid w:val="00EB2BBA"/>
    <w:rsid w:val="00EB7880"/>
    <w:rsid w:val="00EB7A95"/>
    <w:rsid w:val="00EB7AFC"/>
    <w:rsid w:val="00EC0A88"/>
    <w:rsid w:val="00EC1829"/>
    <w:rsid w:val="00EC3377"/>
    <w:rsid w:val="00EC4D51"/>
    <w:rsid w:val="00EC4F99"/>
    <w:rsid w:val="00ED33BD"/>
    <w:rsid w:val="00ED4144"/>
    <w:rsid w:val="00ED41B3"/>
    <w:rsid w:val="00ED5020"/>
    <w:rsid w:val="00ED5DFE"/>
    <w:rsid w:val="00ED690C"/>
    <w:rsid w:val="00ED6AB9"/>
    <w:rsid w:val="00ED7CDB"/>
    <w:rsid w:val="00EE09B7"/>
    <w:rsid w:val="00EE1947"/>
    <w:rsid w:val="00EE37CD"/>
    <w:rsid w:val="00EF7340"/>
    <w:rsid w:val="00F01719"/>
    <w:rsid w:val="00F04043"/>
    <w:rsid w:val="00F07E8F"/>
    <w:rsid w:val="00F1192D"/>
    <w:rsid w:val="00F11FCD"/>
    <w:rsid w:val="00F14483"/>
    <w:rsid w:val="00F14DDB"/>
    <w:rsid w:val="00F16099"/>
    <w:rsid w:val="00F2034E"/>
    <w:rsid w:val="00F217B0"/>
    <w:rsid w:val="00F23144"/>
    <w:rsid w:val="00F23492"/>
    <w:rsid w:val="00F242D0"/>
    <w:rsid w:val="00F24DDB"/>
    <w:rsid w:val="00F24DE5"/>
    <w:rsid w:val="00F2558E"/>
    <w:rsid w:val="00F26A9A"/>
    <w:rsid w:val="00F31822"/>
    <w:rsid w:val="00F31DBB"/>
    <w:rsid w:val="00F33CCE"/>
    <w:rsid w:val="00F34AED"/>
    <w:rsid w:val="00F34E3E"/>
    <w:rsid w:val="00F35E4A"/>
    <w:rsid w:val="00F364FB"/>
    <w:rsid w:val="00F36EF6"/>
    <w:rsid w:val="00F36F57"/>
    <w:rsid w:val="00F37C81"/>
    <w:rsid w:val="00F43E8C"/>
    <w:rsid w:val="00F44451"/>
    <w:rsid w:val="00F44E74"/>
    <w:rsid w:val="00F452BF"/>
    <w:rsid w:val="00F45CB3"/>
    <w:rsid w:val="00F50255"/>
    <w:rsid w:val="00F51A12"/>
    <w:rsid w:val="00F5276A"/>
    <w:rsid w:val="00F52A21"/>
    <w:rsid w:val="00F52BCC"/>
    <w:rsid w:val="00F54843"/>
    <w:rsid w:val="00F56051"/>
    <w:rsid w:val="00F57306"/>
    <w:rsid w:val="00F64C45"/>
    <w:rsid w:val="00F65A03"/>
    <w:rsid w:val="00F65AD1"/>
    <w:rsid w:val="00F66C7A"/>
    <w:rsid w:val="00F700DD"/>
    <w:rsid w:val="00F72B78"/>
    <w:rsid w:val="00F7382E"/>
    <w:rsid w:val="00F74266"/>
    <w:rsid w:val="00F761FE"/>
    <w:rsid w:val="00F76268"/>
    <w:rsid w:val="00F80CC7"/>
    <w:rsid w:val="00F80E43"/>
    <w:rsid w:val="00F81092"/>
    <w:rsid w:val="00F83708"/>
    <w:rsid w:val="00F84959"/>
    <w:rsid w:val="00F85617"/>
    <w:rsid w:val="00F8588A"/>
    <w:rsid w:val="00F86822"/>
    <w:rsid w:val="00F977E7"/>
    <w:rsid w:val="00FA0FBF"/>
    <w:rsid w:val="00FA558A"/>
    <w:rsid w:val="00FA55A5"/>
    <w:rsid w:val="00FA5826"/>
    <w:rsid w:val="00FA6137"/>
    <w:rsid w:val="00FA623A"/>
    <w:rsid w:val="00FA6425"/>
    <w:rsid w:val="00FA6F1F"/>
    <w:rsid w:val="00FA7169"/>
    <w:rsid w:val="00FB0DF7"/>
    <w:rsid w:val="00FB0E2E"/>
    <w:rsid w:val="00FB2B0C"/>
    <w:rsid w:val="00FB36EF"/>
    <w:rsid w:val="00FB58A9"/>
    <w:rsid w:val="00FB5A13"/>
    <w:rsid w:val="00FB5D25"/>
    <w:rsid w:val="00FB6602"/>
    <w:rsid w:val="00FB676B"/>
    <w:rsid w:val="00FB728F"/>
    <w:rsid w:val="00FC02DE"/>
    <w:rsid w:val="00FC040A"/>
    <w:rsid w:val="00FD0248"/>
    <w:rsid w:val="00FD1C3F"/>
    <w:rsid w:val="00FD2C9B"/>
    <w:rsid w:val="00FD5C31"/>
    <w:rsid w:val="00FE1558"/>
    <w:rsid w:val="00FE6DD0"/>
    <w:rsid w:val="00FF186D"/>
    <w:rsid w:val="00FF2696"/>
    <w:rsid w:val="00FF396D"/>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341CBD"/>
  <w15:chartTrackingRefBased/>
  <w15:docId w15:val="{CA976AA6-7A81-4674-A020-D7E74F03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376"/>
    <w:rPr>
      <w:sz w:val="24"/>
      <w:szCs w:val="24"/>
      <w:lang w:eastAsia="en-US"/>
    </w:rPr>
  </w:style>
  <w:style w:type="paragraph" w:styleId="Heading1">
    <w:name w:val="heading 1"/>
    <w:basedOn w:val="Normal"/>
    <w:next w:val="Normal"/>
    <w:link w:val="Heading1Char"/>
    <w:qFormat/>
    <w:rsid w:val="001450A5"/>
    <w:pPr>
      <w:keepNext/>
      <w:keepLines/>
      <w:spacing w:before="240"/>
      <w:outlineLvl w:val="0"/>
    </w:pPr>
    <w:rPr>
      <w:rFonts w:ascii="Arial" w:eastAsiaTheme="majorEastAsia" w:hAnsi="Arial" w:cstheme="majorBidi"/>
      <w:sz w:val="22"/>
      <w:szCs w:val="32"/>
    </w:rPr>
  </w:style>
  <w:style w:type="paragraph" w:styleId="Heading4">
    <w:name w:val="heading 4"/>
    <w:basedOn w:val="Normal"/>
    <w:next w:val="Normal"/>
    <w:qFormat/>
    <w:rsid w:val="00131D5A"/>
    <w:pPr>
      <w:keepNext/>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D5A"/>
    <w:pPr>
      <w:tabs>
        <w:tab w:val="center" w:pos="4153"/>
        <w:tab w:val="right" w:pos="8306"/>
      </w:tabs>
    </w:pPr>
  </w:style>
  <w:style w:type="paragraph" w:styleId="Footer">
    <w:name w:val="footer"/>
    <w:basedOn w:val="Normal"/>
    <w:link w:val="FooterChar"/>
    <w:rsid w:val="00131D5A"/>
    <w:pPr>
      <w:tabs>
        <w:tab w:val="center" w:pos="4153"/>
        <w:tab w:val="right" w:pos="8306"/>
      </w:tabs>
    </w:pPr>
  </w:style>
  <w:style w:type="character" w:styleId="PageNumber">
    <w:name w:val="page number"/>
    <w:basedOn w:val="DefaultParagraphFont"/>
    <w:rsid w:val="00131D5A"/>
  </w:style>
  <w:style w:type="paragraph" w:styleId="BodyTextIndent">
    <w:name w:val="Body Text Indent"/>
    <w:basedOn w:val="Normal"/>
    <w:rsid w:val="00131D5A"/>
    <w:pPr>
      <w:tabs>
        <w:tab w:val="left" w:pos="360"/>
      </w:tabs>
      <w:spacing w:after="120"/>
      <w:ind w:left="360" w:hanging="360"/>
    </w:pPr>
    <w:rPr>
      <w:rFonts w:ascii="Arial" w:hAnsi="Arial" w:cs="Arial"/>
      <w:sz w:val="22"/>
      <w:szCs w:val="20"/>
      <w:lang w:val="en-US"/>
    </w:rPr>
  </w:style>
  <w:style w:type="paragraph" w:customStyle="1" w:styleId="Default">
    <w:name w:val="Default"/>
    <w:rsid w:val="00131D5A"/>
    <w:pPr>
      <w:autoSpaceDE w:val="0"/>
      <w:autoSpaceDN w:val="0"/>
      <w:adjustRightInd w:val="0"/>
    </w:pPr>
    <w:rPr>
      <w:rFonts w:ascii="Arial" w:hAnsi="Arial" w:cs="Arial"/>
      <w:color w:val="000000"/>
      <w:sz w:val="24"/>
      <w:szCs w:val="24"/>
    </w:rPr>
  </w:style>
  <w:style w:type="character" w:styleId="Hyperlink">
    <w:name w:val="Hyperlink"/>
    <w:rsid w:val="004E3F1C"/>
    <w:rPr>
      <w:color w:val="0000FF"/>
      <w:u w:val="single"/>
    </w:rPr>
  </w:style>
  <w:style w:type="table" w:styleId="TableGrid">
    <w:name w:val="Table Grid"/>
    <w:basedOn w:val="TableNormal"/>
    <w:rsid w:val="006E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1C5BB9"/>
    <w:pPr>
      <w:widowControl w:val="0"/>
      <w:numPr>
        <w:numId w:val="1"/>
      </w:numPr>
      <w:overflowPunct w:val="0"/>
      <w:autoSpaceDE w:val="0"/>
      <w:autoSpaceDN w:val="0"/>
      <w:adjustRightInd w:val="0"/>
      <w:spacing w:after="240"/>
      <w:textAlignment w:val="baseline"/>
    </w:pPr>
    <w:rPr>
      <w:rFonts w:ascii="Arial" w:hAnsi="Arial"/>
      <w:szCs w:val="20"/>
      <w:lang w:val="en-US"/>
    </w:rPr>
  </w:style>
  <w:style w:type="character" w:customStyle="1" w:styleId="DeptBulletsChar">
    <w:name w:val="DeptBullets Char"/>
    <w:link w:val="DeptBullets"/>
    <w:locked/>
    <w:rsid w:val="001C5BB9"/>
    <w:rPr>
      <w:rFonts w:ascii="Arial" w:hAnsi="Arial"/>
      <w:sz w:val="24"/>
      <w:lang w:val="en-US" w:eastAsia="en-US"/>
    </w:rPr>
  </w:style>
  <w:style w:type="character" w:styleId="FollowedHyperlink">
    <w:name w:val="FollowedHyperlink"/>
    <w:rsid w:val="00F36F57"/>
    <w:rPr>
      <w:color w:val="606420"/>
      <w:u w:val="single"/>
    </w:rPr>
  </w:style>
  <w:style w:type="character" w:styleId="Strong">
    <w:name w:val="Strong"/>
    <w:qFormat/>
    <w:rsid w:val="008E0577"/>
    <w:rPr>
      <w:b/>
      <w:bCs/>
    </w:rPr>
  </w:style>
  <w:style w:type="paragraph" w:styleId="NormalWeb">
    <w:name w:val="Normal (Web)"/>
    <w:basedOn w:val="Normal"/>
    <w:rsid w:val="004E42F0"/>
    <w:pPr>
      <w:spacing w:before="100" w:beforeAutospacing="1" w:after="100" w:afterAutospacing="1"/>
    </w:pPr>
    <w:rPr>
      <w:lang w:eastAsia="en-GB"/>
    </w:rPr>
  </w:style>
  <w:style w:type="paragraph" w:styleId="BalloonText">
    <w:name w:val="Balloon Text"/>
    <w:basedOn w:val="Normal"/>
    <w:link w:val="BalloonTextChar"/>
    <w:rsid w:val="002C2DF3"/>
    <w:rPr>
      <w:rFonts w:ascii="Tahoma" w:hAnsi="Tahoma"/>
      <w:sz w:val="16"/>
      <w:szCs w:val="16"/>
      <w:lang w:val="x-none"/>
    </w:rPr>
  </w:style>
  <w:style w:type="character" w:customStyle="1" w:styleId="BalloonTextChar">
    <w:name w:val="Balloon Text Char"/>
    <w:link w:val="BalloonText"/>
    <w:rsid w:val="002C2DF3"/>
    <w:rPr>
      <w:rFonts w:ascii="Tahoma" w:hAnsi="Tahoma" w:cs="Tahoma"/>
      <w:sz w:val="16"/>
      <w:szCs w:val="16"/>
      <w:lang w:eastAsia="en-US"/>
    </w:rPr>
  </w:style>
  <w:style w:type="paragraph" w:customStyle="1" w:styleId="Body">
    <w:name w:val="Body"/>
    <w:basedOn w:val="Normal"/>
    <w:rsid w:val="00050D32"/>
    <w:pPr>
      <w:tabs>
        <w:tab w:val="left" w:pos="6521"/>
        <w:tab w:val="left" w:pos="7200"/>
        <w:tab w:val="left" w:pos="7920"/>
        <w:tab w:val="right" w:pos="9973"/>
      </w:tabs>
      <w:spacing w:line="280" w:lineRule="exact"/>
    </w:pPr>
    <w:rPr>
      <w:rFonts w:ascii="Arial" w:eastAsia="Times" w:hAnsi="Arial"/>
      <w:color w:val="000000"/>
      <w:sz w:val="22"/>
      <w:szCs w:val="20"/>
    </w:rPr>
  </w:style>
  <w:style w:type="paragraph" w:customStyle="1" w:styleId="BodyBold">
    <w:name w:val="Body Bold"/>
    <w:basedOn w:val="Body"/>
    <w:autoRedefine/>
    <w:rsid w:val="00050D32"/>
    <w:pPr>
      <w:jc w:val="right"/>
    </w:pPr>
    <w:rPr>
      <w:iCs/>
      <w:szCs w:val="22"/>
    </w:rPr>
  </w:style>
  <w:style w:type="paragraph" w:styleId="ListParagraph">
    <w:name w:val="List Paragraph"/>
    <w:basedOn w:val="Normal"/>
    <w:uiPriority w:val="34"/>
    <w:qFormat/>
    <w:rsid w:val="00EA5039"/>
    <w:pPr>
      <w:ind w:left="720"/>
    </w:pPr>
  </w:style>
  <w:style w:type="paragraph" w:styleId="FootnoteText">
    <w:name w:val="footnote text"/>
    <w:basedOn w:val="Normal"/>
    <w:link w:val="FootnoteTextChar"/>
    <w:rsid w:val="00D73776"/>
    <w:rPr>
      <w:sz w:val="20"/>
      <w:szCs w:val="20"/>
      <w:lang w:val="x-none"/>
    </w:rPr>
  </w:style>
  <w:style w:type="character" w:customStyle="1" w:styleId="FootnoteTextChar">
    <w:name w:val="Footnote Text Char"/>
    <w:link w:val="FootnoteText"/>
    <w:rsid w:val="00D73776"/>
    <w:rPr>
      <w:lang w:eastAsia="en-US"/>
    </w:rPr>
  </w:style>
  <w:style w:type="character" w:styleId="FootnoteReference">
    <w:name w:val="footnote reference"/>
    <w:rsid w:val="00D73776"/>
    <w:rPr>
      <w:vertAlign w:val="superscript"/>
    </w:rPr>
  </w:style>
  <w:style w:type="character" w:customStyle="1" w:styleId="FooterChar">
    <w:name w:val="Footer Char"/>
    <w:link w:val="Footer"/>
    <w:uiPriority w:val="99"/>
    <w:rsid w:val="00CA670B"/>
    <w:rPr>
      <w:sz w:val="24"/>
      <w:szCs w:val="24"/>
      <w:lang w:eastAsia="en-US"/>
    </w:rPr>
  </w:style>
  <w:style w:type="character" w:styleId="CommentReference">
    <w:name w:val="annotation reference"/>
    <w:rsid w:val="003A545A"/>
    <w:rPr>
      <w:sz w:val="16"/>
      <w:szCs w:val="16"/>
    </w:rPr>
  </w:style>
  <w:style w:type="paragraph" w:styleId="CommentText">
    <w:name w:val="annotation text"/>
    <w:basedOn w:val="Normal"/>
    <w:link w:val="CommentTextChar"/>
    <w:rsid w:val="003A545A"/>
    <w:rPr>
      <w:sz w:val="20"/>
      <w:szCs w:val="20"/>
    </w:rPr>
  </w:style>
  <w:style w:type="character" w:customStyle="1" w:styleId="CommentTextChar">
    <w:name w:val="Comment Text Char"/>
    <w:link w:val="CommentText"/>
    <w:rsid w:val="003A545A"/>
    <w:rPr>
      <w:lang w:eastAsia="en-US"/>
    </w:rPr>
  </w:style>
  <w:style w:type="paragraph" w:styleId="CommentSubject">
    <w:name w:val="annotation subject"/>
    <w:basedOn w:val="CommentText"/>
    <w:next w:val="CommentText"/>
    <w:link w:val="CommentSubjectChar"/>
    <w:rsid w:val="003A545A"/>
    <w:rPr>
      <w:b/>
      <w:bCs/>
    </w:rPr>
  </w:style>
  <w:style w:type="character" w:customStyle="1" w:styleId="CommentSubjectChar">
    <w:name w:val="Comment Subject Char"/>
    <w:link w:val="CommentSubject"/>
    <w:rsid w:val="003A545A"/>
    <w:rPr>
      <w:b/>
      <w:bCs/>
      <w:lang w:eastAsia="en-US"/>
    </w:rPr>
  </w:style>
  <w:style w:type="character" w:customStyle="1" w:styleId="Heading1Char">
    <w:name w:val="Heading 1 Char"/>
    <w:basedOn w:val="DefaultParagraphFont"/>
    <w:link w:val="Heading1"/>
    <w:rsid w:val="001450A5"/>
    <w:rPr>
      <w:rFonts w:ascii="Arial" w:eastAsiaTheme="majorEastAsia" w:hAnsi="Arial" w:cstheme="majorBidi"/>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8384">
      <w:bodyDiv w:val="1"/>
      <w:marLeft w:val="0"/>
      <w:marRight w:val="0"/>
      <w:marTop w:val="0"/>
      <w:marBottom w:val="0"/>
      <w:divBdr>
        <w:top w:val="none" w:sz="0" w:space="0" w:color="auto"/>
        <w:left w:val="none" w:sz="0" w:space="0" w:color="auto"/>
        <w:bottom w:val="none" w:sz="0" w:space="0" w:color="auto"/>
        <w:right w:val="none" w:sz="0" w:space="0" w:color="auto"/>
      </w:divBdr>
    </w:div>
    <w:div w:id="47002018">
      <w:bodyDiv w:val="1"/>
      <w:marLeft w:val="0"/>
      <w:marRight w:val="0"/>
      <w:marTop w:val="0"/>
      <w:marBottom w:val="0"/>
      <w:divBdr>
        <w:top w:val="none" w:sz="0" w:space="0" w:color="auto"/>
        <w:left w:val="none" w:sz="0" w:space="0" w:color="auto"/>
        <w:bottom w:val="none" w:sz="0" w:space="0" w:color="auto"/>
        <w:right w:val="none" w:sz="0" w:space="0" w:color="auto"/>
      </w:divBdr>
    </w:div>
    <w:div w:id="134569580">
      <w:bodyDiv w:val="1"/>
      <w:marLeft w:val="0"/>
      <w:marRight w:val="0"/>
      <w:marTop w:val="0"/>
      <w:marBottom w:val="0"/>
      <w:divBdr>
        <w:top w:val="none" w:sz="0" w:space="0" w:color="auto"/>
        <w:left w:val="none" w:sz="0" w:space="0" w:color="auto"/>
        <w:bottom w:val="none" w:sz="0" w:space="0" w:color="auto"/>
        <w:right w:val="none" w:sz="0" w:space="0" w:color="auto"/>
      </w:divBdr>
    </w:div>
    <w:div w:id="212808829">
      <w:bodyDiv w:val="1"/>
      <w:marLeft w:val="0"/>
      <w:marRight w:val="0"/>
      <w:marTop w:val="0"/>
      <w:marBottom w:val="0"/>
      <w:divBdr>
        <w:top w:val="none" w:sz="0" w:space="0" w:color="auto"/>
        <w:left w:val="none" w:sz="0" w:space="0" w:color="auto"/>
        <w:bottom w:val="none" w:sz="0" w:space="0" w:color="auto"/>
        <w:right w:val="none" w:sz="0" w:space="0" w:color="auto"/>
      </w:divBdr>
    </w:div>
    <w:div w:id="259260837">
      <w:bodyDiv w:val="1"/>
      <w:marLeft w:val="0"/>
      <w:marRight w:val="0"/>
      <w:marTop w:val="0"/>
      <w:marBottom w:val="0"/>
      <w:divBdr>
        <w:top w:val="none" w:sz="0" w:space="0" w:color="auto"/>
        <w:left w:val="none" w:sz="0" w:space="0" w:color="auto"/>
        <w:bottom w:val="none" w:sz="0" w:space="0" w:color="auto"/>
        <w:right w:val="none" w:sz="0" w:space="0" w:color="auto"/>
      </w:divBdr>
    </w:div>
    <w:div w:id="275721838">
      <w:bodyDiv w:val="1"/>
      <w:marLeft w:val="0"/>
      <w:marRight w:val="0"/>
      <w:marTop w:val="0"/>
      <w:marBottom w:val="0"/>
      <w:divBdr>
        <w:top w:val="none" w:sz="0" w:space="0" w:color="auto"/>
        <w:left w:val="none" w:sz="0" w:space="0" w:color="auto"/>
        <w:bottom w:val="none" w:sz="0" w:space="0" w:color="auto"/>
        <w:right w:val="none" w:sz="0" w:space="0" w:color="auto"/>
      </w:divBdr>
    </w:div>
    <w:div w:id="276987620">
      <w:bodyDiv w:val="1"/>
      <w:marLeft w:val="0"/>
      <w:marRight w:val="0"/>
      <w:marTop w:val="0"/>
      <w:marBottom w:val="0"/>
      <w:divBdr>
        <w:top w:val="none" w:sz="0" w:space="0" w:color="auto"/>
        <w:left w:val="none" w:sz="0" w:space="0" w:color="auto"/>
        <w:bottom w:val="none" w:sz="0" w:space="0" w:color="auto"/>
        <w:right w:val="none" w:sz="0" w:space="0" w:color="auto"/>
      </w:divBdr>
    </w:div>
    <w:div w:id="350692488">
      <w:bodyDiv w:val="1"/>
      <w:marLeft w:val="0"/>
      <w:marRight w:val="0"/>
      <w:marTop w:val="0"/>
      <w:marBottom w:val="0"/>
      <w:divBdr>
        <w:top w:val="none" w:sz="0" w:space="0" w:color="auto"/>
        <w:left w:val="none" w:sz="0" w:space="0" w:color="auto"/>
        <w:bottom w:val="none" w:sz="0" w:space="0" w:color="auto"/>
        <w:right w:val="none" w:sz="0" w:space="0" w:color="auto"/>
      </w:divBdr>
    </w:div>
    <w:div w:id="488643483">
      <w:bodyDiv w:val="1"/>
      <w:marLeft w:val="0"/>
      <w:marRight w:val="0"/>
      <w:marTop w:val="0"/>
      <w:marBottom w:val="0"/>
      <w:divBdr>
        <w:top w:val="none" w:sz="0" w:space="0" w:color="auto"/>
        <w:left w:val="none" w:sz="0" w:space="0" w:color="auto"/>
        <w:bottom w:val="none" w:sz="0" w:space="0" w:color="auto"/>
        <w:right w:val="none" w:sz="0" w:space="0" w:color="auto"/>
      </w:divBdr>
    </w:div>
    <w:div w:id="489062024">
      <w:bodyDiv w:val="1"/>
      <w:marLeft w:val="0"/>
      <w:marRight w:val="0"/>
      <w:marTop w:val="0"/>
      <w:marBottom w:val="0"/>
      <w:divBdr>
        <w:top w:val="none" w:sz="0" w:space="0" w:color="auto"/>
        <w:left w:val="none" w:sz="0" w:space="0" w:color="auto"/>
        <w:bottom w:val="none" w:sz="0" w:space="0" w:color="auto"/>
        <w:right w:val="none" w:sz="0" w:space="0" w:color="auto"/>
      </w:divBdr>
    </w:div>
    <w:div w:id="546839432">
      <w:bodyDiv w:val="1"/>
      <w:marLeft w:val="0"/>
      <w:marRight w:val="0"/>
      <w:marTop w:val="0"/>
      <w:marBottom w:val="0"/>
      <w:divBdr>
        <w:top w:val="none" w:sz="0" w:space="0" w:color="auto"/>
        <w:left w:val="none" w:sz="0" w:space="0" w:color="auto"/>
        <w:bottom w:val="none" w:sz="0" w:space="0" w:color="auto"/>
        <w:right w:val="none" w:sz="0" w:space="0" w:color="auto"/>
      </w:divBdr>
    </w:div>
    <w:div w:id="624196285">
      <w:bodyDiv w:val="1"/>
      <w:marLeft w:val="0"/>
      <w:marRight w:val="0"/>
      <w:marTop w:val="0"/>
      <w:marBottom w:val="0"/>
      <w:divBdr>
        <w:top w:val="none" w:sz="0" w:space="0" w:color="auto"/>
        <w:left w:val="none" w:sz="0" w:space="0" w:color="auto"/>
        <w:bottom w:val="none" w:sz="0" w:space="0" w:color="auto"/>
        <w:right w:val="none" w:sz="0" w:space="0" w:color="auto"/>
      </w:divBdr>
    </w:div>
    <w:div w:id="661006588">
      <w:bodyDiv w:val="1"/>
      <w:marLeft w:val="0"/>
      <w:marRight w:val="0"/>
      <w:marTop w:val="0"/>
      <w:marBottom w:val="0"/>
      <w:divBdr>
        <w:top w:val="none" w:sz="0" w:space="0" w:color="auto"/>
        <w:left w:val="none" w:sz="0" w:space="0" w:color="auto"/>
        <w:bottom w:val="none" w:sz="0" w:space="0" w:color="auto"/>
        <w:right w:val="none" w:sz="0" w:space="0" w:color="auto"/>
      </w:divBdr>
    </w:div>
    <w:div w:id="697196393">
      <w:bodyDiv w:val="1"/>
      <w:marLeft w:val="0"/>
      <w:marRight w:val="0"/>
      <w:marTop w:val="0"/>
      <w:marBottom w:val="0"/>
      <w:divBdr>
        <w:top w:val="none" w:sz="0" w:space="0" w:color="auto"/>
        <w:left w:val="none" w:sz="0" w:space="0" w:color="auto"/>
        <w:bottom w:val="none" w:sz="0" w:space="0" w:color="auto"/>
        <w:right w:val="none" w:sz="0" w:space="0" w:color="auto"/>
      </w:divBdr>
    </w:div>
    <w:div w:id="723797640">
      <w:bodyDiv w:val="1"/>
      <w:marLeft w:val="0"/>
      <w:marRight w:val="0"/>
      <w:marTop w:val="0"/>
      <w:marBottom w:val="0"/>
      <w:divBdr>
        <w:top w:val="none" w:sz="0" w:space="0" w:color="auto"/>
        <w:left w:val="none" w:sz="0" w:space="0" w:color="auto"/>
        <w:bottom w:val="none" w:sz="0" w:space="0" w:color="auto"/>
        <w:right w:val="none" w:sz="0" w:space="0" w:color="auto"/>
      </w:divBdr>
    </w:div>
    <w:div w:id="931547422">
      <w:bodyDiv w:val="1"/>
      <w:marLeft w:val="0"/>
      <w:marRight w:val="0"/>
      <w:marTop w:val="0"/>
      <w:marBottom w:val="0"/>
      <w:divBdr>
        <w:top w:val="none" w:sz="0" w:space="0" w:color="auto"/>
        <w:left w:val="none" w:sz="0" w:space="0" w:color="auto"/>
        <w:bottom w:val="none" w:sz="0" w:space="0" w:color="auto"/>
        <w:right w:val="none" w:sz="0" w:space="0" w:color="auto"/>
      </w:divBdr>
    </w:div>
    <w:div w:id="1017386254">
      <w:bodyDiv w:val="1"/>
      <w:marLeft w:val="0"/>
      <w:marRight w:val="0"/>
      <w:marTop w:val="0"/>
      <w:marBottom w:val="0"/>
      <w:divBdr>
        <w:top w:val="none" w:sz="0" w:space="0" w:color="auto"/>
        <w:left w:val="none" w:sz="0" w:space="0" w:color="auto"/>
        <w:bottom w:val="none" w:sz="0" w:space="0" w:color="auto"/>
        <w:right w:val="none" w:sz="0" w:space="0" w:color="auto"/>
      </w:divBdr>
    </w:div>
    <w:div w:id="1040978362">
      <w:bodyDiv w:val="1"/>
      <w:marLeft w:val="0"/>
      <w:marRight w:val="0"/>
      <w:marTop w:val="0"/>
      <w:marBottom w:val="0"/>
      <w:divBdr>
        <w:top w:val="none" w:sz="0" w:space="0" w:color="auto"/>
        <w:left w:val="none" w:sz="0" w:space="0" w:color="auto"/>
        <w:bottom w:val="none" w:sz="0" w:space="0" w:color="auto"/>
        <w:right w:val="none" w:sz="0" w:space="0" w:color="auto"/>
      </w:divBdr>
    </w:div>
    <w:div w:id="1050805800">
      <w:bodyDiv w:val="1"/>
      <w:marLeft w:val="0"/>
      <w:marRight w:val="0"/>
      <w:marTop w:val="0"/>
      <w:marBottom w:val="0"/>
      <w:divBdr>
        <w:top w:val="none" w:sz="0" w:space="0" w:color="auto"/>
        <w:left w:val="none" w:sz="0" w:space="0" w:color="auto"/>
        <w:bottom w:val="none" w:sz="0" w:space="0" w:color="auto"/>
        <w:right w:val="none" w:sz="0" w:space="0" w:color="auto"/>
      </w:divBdr>
    </w:div>
    <w:div w:id="1168136404">
      <w:bodyDiv w:val="1"/>
      <w:marLeft w:val="0"/>
      <w:marRight w:val="0"/>
      <w:marTop w:val="0"/>
      <w:marBottom w:val="0"/>
      <w:divBdr>
        <w:top w:val="none" w:sz="0" w:space="0" w:color="auto"/>
        <w:left w:val="none" w:sz="0" w:space="0" w:color="auto"/>
        <w:bottom w:val="none" w:sz="0" w:space="0" w:color="auto"/>
        <w:right w:val="none" w:sz="0" w:space="0" w:color="auto"/>
      </w:divBdr>
    </w:div>
    <w:div w:id="1219705056">
      <w:bodyDiv w:val="1"/>
      <w:marLeft w:val="0"/>
      <w:marRight w:val="0"/>
      <w:marTop w:val="0"/>
      <w:marBottom w:val="0"/>
      <w:divBdr>
        <w:top w:val="none" w:sz="0" w:space="0" w:color="auto"/>
        <w:left w:val="none" w:sz="0" w:space="0" w:color="auto"/>
        <w:bottom w:val="none" w:sz="0" w:space="0" w:color="auto"/>
        <w:right w:val="none" w:sz="0" w:space="0" w:color="auto"/>
      </w:divBdr>
    </w:div>
    <w:div w:id="1290429952">
      <w:bodyDiv w:val="1"/>
      <w:marLeft w:val="0"/>
      <w:marRight w:val="0"/>
      <w:marTop w:val="0"/>
      <w:marBottom w:val="0"/>
      <w:divBdr>
        <w:top w:val="none" w:sz="0" w:space="0" w:color="auto"/>
        <w:left w:val="none" w:sz="0" w:space="0" w:color="auto"/>
        <w:bottom w:val="none" w:sz="0" w:space="0" w:color="auto"/>
        <w:right w:val="none" w:sz="0" w:space="0" w:color="auto"/>
      </w:divBdr>
    </w:div>
    <w:div w:id="1296183824">
      <w:bodyDiv w:val="1"/>
      <w:marLeft w:val="0"/>
      <w:marRight w:val="0"/>
      <w:marTop w:val="0"/>
      <w:marBottom w:val="0"/>
      <w:divBdr>
        <w:top w:val="none" w:sz="0" w:space="0" w:color="auto"/>
        <w:left w:val="none" w:sz="0" w:space="0" w:color="auto"/>
        <w:bottom w:val="none" w:sz="0" w:space="0" w:color="auto"/>
        <w:right w:val="none" w:sz="0" w:space="0" w:color="auto"/>
      </w:divBdr>
    </w:div>
    <w:div w:id="1334724693">
      <w:bodyDiv w:val="1"/>
      <w:marLeft w:val="0"/>
      <w:marRight w:val="0"/>
      <w:marTop w:val="0"/>
      <w:marBottom w:val="0"/>
      <w:divBdr>
        <w:top w:val="none" w:sz="0" w:space="0" w:color="auto"/>
        <w:left w:val="none" w:sz="0" w:space="0" w:color="auto"/>
        <w:bottom w:val="none" w:sz="0" w:space="0" w:color="auto"/>
        <w:right w:val="none" w:sz="0" w:space="0" w:color="auto"/>
      </w:divBdr>
    </w:div>
    <w:div w:id="1391542481">
      <w:bodyDiv w:val="1"/>
      <w:marLeft w:val="0"/>
      <w:marRight w:val="0"/>
      <w:marTop w:val="0"/>
      <w:marBottom w:val="0"/>
      <w:divBdr>
        <w:top w:val="none" w:sz="0" w:space="0" w:color="auto"/>
        <w:left w:val="none" w:sz="0" w:space="0" w:color="auto"/>
        <w:bottom w:val="none" w:sz="0" w:space="0" w:color="auto"/>
        <w:right w:val="none" w:sz="0" w:space="0" w:color="auto"/>
      </w:divBdr>
    </w:div>
    <w:div w:id="1400909078">
      <w:bodyDiv w:val="1"/>
      <w:marLeft w:val="0"/>
      <w:marRight w:val="0"/>
      <w:marTop w:val="0"/>
      <w:marBottom w:val="0"/>
      <w:divBdr>
        <w:top w:val="none" w:sz="0" w:space="0" w:color="auto"/>
        <w:left w:val="none" w:sz="0" w:space="0" w:color="auto"/>
        <w:bottom w:val="none" w:sz="0" w:space="0" w:color="auto"/>
        <w:right w:val="none" w:sz="0" w:space="0" w:color="auto"/>
      </w:divBdr>
      <w:divsChild>
        <w:div w:id="1954705802">
          <w:marLeft w:val="0"/>
          <w:marRight w:val="0"/>
          <w:marTop w:val="0"/>
          <w:marBottom w:val="0"/>
          <w:divBdr>
            <w:top w:val="none" w:sz="0" w:space="0" w:color="auto"/>
            <w:left w:val="none" w:sz="0" w:space="0" w:color="auto"/>
            <w:bottom w:val="none" w:sz="0" w:space="0" w:color="auto"/>
            <w:right w:val="none" w:sz="0" w:space="0" w:color="auto"/>
          </w:divBdr>
          <w:divsChild>
            <w:div w:id="159583241">
              <w:marLeft w:val="0"/>
              <w:marRight w:val="0"/>
              <w:marTop w:val="0"/>
              <w:marBottom w:val="0"/>
              <w:divBdr>
                <w:top w:val="none" w:sz="0" w:space="0" w:color="auto"/>
                <w:left w:val="none" w:sz="0" w:space="0" w:color="auto"/>
                <w:bottom w:val="none" w:sz="0" w:space="0" w:color="auto"/>
                <w:right w:val="none" w:sz="0" w:space="0" w:color="auto"/>
              </w:divBdr>
            </w:div>
            <w:div w:id="956256647">
              <w:marLeft w:val="0"/>
              <w:marRight w:val="0"/>
              <w:marTop w:val="0"/>
              <w:marBottom w:val="0"/>
              <w:divBdr>
                <w:top w:val="none" w:sz="0" w:space="0" w:color="auto"/>
                <w:left w:val="none" w:sz="0" w:space="0" w:color="auto"/>
                <w:bottom w:val="none" w:sz="0" w:space="0" w:color="auto"/>
                <w:right w:val="none" w:sz="0" w:space="0" w:color="auto"/>
              </w:divBdr>
            </w:div>
            <w:div w:id="15203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5486">
      <w:bodyDiv w:val="1"/>
      <w:marLeft w:val="0"/>
      <w:marRight w:val="0"/>
      <w:marTop w:val="0"/>
      <w:marBottom w:val="0"/>
      <w:divBdr>
        <w:top w:val="none" w:sz="0" w:space="0" w:color="auto"/>
        <w:left w:val="none" w:sz="0" w:space="0" w:color="auto"/>
        <w:bottom w:val="none" w:sz="0" w:space="0" w:color="auto"/>
        <w:right w:val="none" w:sz="0" w:space="0" w:color="auto"/>
      </w:divBdr>
    </w:div>
    <w:div w:id="1516848614">
      <w:bodyDiv w:val="1"/>
      <w:marLeft w:val="0"/>
      <w:marRight w:val="0"/>
      <w:marTop w:val="0"/>
      <w:marBottom w:val="0"/>
      <w:divBdr>
        <w:top w:val="none" w:sz="0" w:space="0" w:color="auto"/>
        <w:left w:val="none" w:sz="0" w:space="0" w:color="auto"/>
        <w:bottom w:val="none" w:sz="0" w:space="0" w:color="auto"/>
        <w:right w:val="none" w:sz="0" w:space="0" w:color="auto"/>
      </w:divBdr>
    </w:div>
    <w:div w:id="1530528339">
      <w:bodyDiv w:val="1"/>
      <w:marLeft w:val="0"/>
      <w:marRight w:val="0"/>
      <w:marTop w:val="0"/>
      <w:marBottom w:val="0"/>
      <w:divBdr>
        <w:top w:val="none" w:sz="0" w:space="0" w:color="auto"/>
        <w:left w:val="none" w:sz="0" w:space="0" w:color="auto"/>
        <w:bottom w:val="none" w:sz="0" w:space="0" w:color="auto"/>
        <w:right w:val="none" w:sz="0" w:space="0" w:color="auto"/>
      </w:divBdr>
      <w:divsChild>
        <w:div w:id="1154762099">
          <w:marLeft w:val="0"/>
          <w:marRight w:val="0"/>
          <w:marTop w:val="0"/>
          <w:marBottom w:val="0"/>
          <w:divBdr>
            <w:top w:val="none" w:sz="0" w:space="0" w:color="auto"/>
            <w:left w:val="none" w:sz="0" w:space="0" w:color="auto"/>
            <w:bottom w:val="none" w:sz="0" w:space="0" w:color="auto"/>
            <w:right w:val="none" w:sz="0" w:space="0" w:color="auto"/>
          </w:divBdr>
          <w:divsChild>
            <w:div w:id="1496797765">
              <w:marLeft w:val="0"/>
              <w:marRight w:val="0"/>
              <w:marTop w:val="0"/>
              <w:marBottom w:val="0"/>
              <w:divBdr>
                <w:top w:val="none" w:sz="0" w:space="0" w:color="auto"/>
                <w:left w:val="none" w:sz="0" w:space="0" w:color="auto"/>
                <w:bottom w:val="none" w:sz="0" w:space="0" w:color="auto"/>
                <w:right w:val="none" w:sz="0" w:space="0" w:color="auto"/>
              </w:divBdr>
              <w:divsChild>
                <w:div w:id="2067072119">
                  <w:marLeft w:val="0"/>
                  <w:marRight w:val="0"/>
                  <w:marTop w:val="0"/>
                  <w:marBottom w:val="0"/>
                  <w:divBdr>
                    <w:top w:val="none" w:sz="0" w:space="0" w:color="auto"/>
                    <w:left w:val="none" w:sz="0" w:space="0" w:color="auto"/>
                    <w:bottom w:val="none" w:sz="0" w:space="0" w:color="auto"/>
                    <w:right w:val="none" w:sz="0" w:space="0" w:color="auto"/>
                  </w:divBdr>
                  <w:divsChild>
                    <w:div w:id="1398937338">
                      <w:marLeft w:val="0"/>
                      <w:marRight w:val="0"/>
                      <w:marTop w:val="0"/>
                      <w:marBottom w:val="0"/>
                      <w:divBdr>
                        <w:top w:val="none" w:sz="0" w:space="0" w:color="auto"/>
                        <w:left w:val="none" w:sz="0" w:space="0" w:color="auto"/>
                        <w:bottom w:val="none" w:sz="0" w:space="0" w:color="auto"/>
                        <w:right w:val="none" w:sz="0" w:space="0" w:color="auto"/>
                      </w:divBdr>
                      <w:divsChild>
                        <w:div w:id="1088428466">
                          <w:marLeft w:val="0"/>
                          <w:marRight w:val="0"/>
                          <w:marTop w:val="0"/>
                          <w:marBottom w:val="0"/>
                          <w:divBdr>
                            <w:top w:val="none" w:sz="0" w:space="0" w:color="auto"/>
                            <w:left w:val="none" w:sz="0" w:space="0" w:color="auto"/>
                            <w:bottom w:val="none" w:sz="0" w:space="0" w:color="auto"/>
                            <w:right w:val="none" w:sz="0" w:space="0" w:color="auto"/>
                          </w:divBdr>
                          <w:divsChild>
                            <w:div w:id="8726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10155">
      <w:bodyDiv w:val="1"/>
      <w:marLeft w:val="0"/>
      <w:marRight w:val="0"/>
      <w:marTop w:val="0"/>
      <w:marBottom w:val="0"/>
      <w:divBdr>
        <w:top w:val="none" w:sz="0" w:space="0" w:color="auto"/>
        <w:left w:val="none" w:sz="0" w:space="0" w:color="auto"/>
        <w:bottom w:val="none" w:sz="0" w:space="0" w:color="auto"/>
        <w:right w:val="none" w:sz="0" w:space="0" w:color="auto"/>
      </w:divBdr>
    </w:div>
    <w:div w:id="1564100106">
      <w:bodyDiv w:val="1"/>
      <w:marLeft w:val="0"/>
      <w:marRight w:val="0"/>
      <w:marTop w:val="0"/>
      <w:marBottom w:val="0"/>
      <w:divBdr>
        <w:top w:val="none" w:sz="0" w:space="0" w:color="auto"/>
        <w:left w:val="none" w:sz="0" w:space="0" w:color="auto"/>
        <w:bottom w:val="none" w:sz="0" w:space="0" w:color="auto"/>
        <w:right w:val="none" w:sz="0" w:space="0" w:color="auto"/>
      </w:divBdr>
    </w:div>
    <w:div w:id="1580944878">
      <w:bodyDiv w:val="1"/>
      <w:marLeft w:val="0"/>
      <w:marRight w:val="0"/>
      <w:marTop w:val="0"/>
      <w:marBottom w:val="0"/>
      <w:divBdr>
        <w:top w:val="none" w:sz="0" w:space="0" w:color="auto"/>
        <w:left w:val="none" w:sz="0" w:space="0" w:color="auto"/>
        <w:bottom w:val="none" w:sz="0" w:space="0" w:color="auto"/>
        <w:right w:val="none" w:sz="0" w:space="0" w:color="auto"/>
      </w:divBdr>
    </w:div>
    <w:div w:id="1594774579">
      <w:bodyDiv w:val="1"/>
      <w:marLeft w:val="0"/>
      <w:marRight w:val="0"/>
      <w:marTop w:val="0"/>
      <w:marBottom w:val="0"/>
      <w:divBdr>
        <w:top w:val="none" w:sz="0" w:space="0" w:color="auto"/>
        <w:left w:val="none" w:sz="0" w:space="0" w:color="auto"/>
        <w:bottom w:val="none" w:sz="0" w:space="0" w:color="auto"/>
        <w:right w:val="none" w:sz="0" w:space="0" w:color="auto"/>
      </w:divBdr>
    </w:div>
    <w:div w:id="1595090236">
      <w:bodyDiv w:val="1"/>
      <w:marLeft w:val="0"/>
      <w:marRight w:val="0"/>
      <w:marTop w:val="0"/>
      <w:marBottom w:val="0"/>
      <w:divBdr>
        <w:top w:val="none" w:sz="0" w:space="0" w:color="auto"/>
        <w:left w:val="none" w:sz="0" w:space="0" w:color="auto"/>
        <w:bottom w:val="none" w:sz="0" w:space="0" w:color="auto"/>
        <w:right w:val="none" w:sz="0" w:space="0" w:color="auto"/>
      </w:divBdr>
    </w:div>
    <w:div w:id="1643996034">
      <w:bodyDiv w:val="1"/>
      <w:marLeft w:val="0"/>
      <w:marRight w:val="0"/>
      <w:marTop w:val="0"/>
      <w:marBottom w:val="0"/>
      <w:divBdr>
        <w:top w:val="none" w:sz="0" w:space="0" w:color="auto"/>
        <w:left w:val="none" w:sz="0" w:space="0" w:color="auto"/>
        <w:bottom w:val="none" w:sz="0" w:space="0" w:color="auto"/>
        <w:right w:val="none" w:sz="0" w:space="0" w:color="auto"/>
      </w:divBdr>
    </w:div>
    <w:div w:id="1671830812">
      <w:bodyDiv w:val="1"/>
      <w:marLeft w:val="0"/>
      <w:marRight w:val="0"/>
      <w:marTop w:val="0"/>
      <w:marBottom w:val="0"/>
      <w:divBdr>
        <w:top w:val="none" w:sz="0" w:space="0" w:color="auto"/>
        <w:left w:val="none" w:sz="0" w:space="0" w:color="auto"/>
        <w:bottom w:val="none" w:sz="0" w:space="0" w:color="auto"/>
        <w:right w:val="none" w:sz="0" w:space="0" w:color="auto"/>
      </w:divBdr>
    </w:div>
    <w:div w:id="1709255266">
      <w:bodyDiv w:val="1"/>
      <w:marLeft w:val="0"/>
      <w:marRight w:val="0"/>
      <w:marTop w:val="0"/>
      <w:marBottom w:val="0"/>
      <w:divBdr>
        <w:top w:val="none" w:sz="0" w:space="0" w:color="auto"/>
        <w:left w:val="none" w:sz="0" w:space="0" w:color="auto"/>
        <w:bottom w:val="none" w:sz="0" w:space="0" w:color="auto"/>
        <w:right w:val="none" w:sz="0" w:space="0" w:color="auto"/>
      </w:divBdr>
    </w:div>
    <w:div w:id="1773668413">
      <w:bodyDiv w:val="1"/>
      <w:marLeft w:val="0"/>
      <w:marRight w:val="0"/>
      <w:marTop w:val="0"/>
      <w:marBottom w:val="0"/>
      <w:divBdr>
        <w:top w:val="none" w:sz="0" w:space="0" w:color="auto"/>
        <w:left w:val="none" w:sz="0" w:space="0" w:color="auto"/>
        <w:bottom w:val="none" w:sz="0" w:space="0" w:color="auto"/>
        <w:right w:val="none" w:sz="0" w:space="0" w:color="auto"/>
      </w:divBdr>
      <w:divsChild>
        <w:div w:id="1873418798">
          <w:marLeft w:val="0"/>
          <w:marRight w:val="0"/>
          <w:marTop w:val="0"/>
          <w:marBottom w:val="0"/>
          <w:divBdr>
            <w:top w:val="none" w:sz="0" w:space="0" w:color="auto"/>
            <w:left w:val="none" w:sz="0" w:space="0" w:color="auto"/>
            <w:bottom w:val="none" w:sz="0" w:space="0" w:color="auto"/>
            <w:right w:val="none" w:sz="0" w:space="0" w:color="auto"/>
          </w:divBdr>
          <w:divsChild>
            <w:div w:id="42825558">
              <w:marLeft w:val="0"/>
              <w:marRight w:val="0"/>
              <w:marTop w:val="0"/>
              <w:marBottom w:val="0"/>
              <w:divBdr>
                <w:top w:val="none" w:sz="0" w:space="0" w:color="auto"/>
                <w:left w:val="none" w:sz="0" w:space="0" w:color="auto"/>
                <w:bottom w:val="none" w:sz="0" w:space="0" w:color="auto"/>
                <w:right w:val="none" w:sz="0" w:space="0" w:color="auto"/>
              </w:divBdr>
            </w:div>
            <w:div w:id="1398632629">
              <w:marLeft w:val="0"/>
              <w:marRight w:val="0"/>
              <w:marTop w:val="0"/>
              <w:marBottom w:val="0"/>
              <w:divBdr>
                <w:top w:val="none" w:sz="0" w:space="0" w:color="auto"/>
                <w:left w:val="none" w:sz="0" w:space="0" w:color="auto"/>
                <w:bottom w:val="none" w:sz="0" w:space="0" w:color="auto"/>
                <w:right w:val="none" w:sz="0" w:space="0" w:color="auto"/>
              </w:divBdr>
            </w:div>
            <w:div w:id="20906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0701">
      <w:bodyDiv w:val="1"/>
      <w:marLeft w:val="0"/>
      <w:marRight w:val="0"/>
      <w:marTop w:val="0"/>
      <w:marBottom w:val="0"/>
      <w:divBdr>
        <w:top w:val="none" w:sz="0" w:space="0" w:color="auto"/>
        <w:left w:val="none" w:sz="0" w:space="0" w:color="auto"/>
        <w:bottom w:val="none" w:sz="0" w:space="0" w:color="auto"/>
        <w:right w:val="none" w:sz="0" w:space="0" w:color="auto"/>
      </w:divBdr>
      <w:divsChild>
        <w:div w:id="708261354">
          <w:marLeft w:val="0"/>
          <w:marRight w:val="0"/>
          <w:marTop w:val="0"/>
          <w:marBottom w:val="0"/>
          <w:divBdr>
            <w:top w:val="none" w:sz="0" w:space="0" w:color="auto"/>
            <w:left w:val="none" w:sz="0" w:space="0" w:color="auto"/>
            <w:bottom w:val="none" w:sz="0" w:space="0" w:color="auto"/>
            <w:right w:val="none" w:sz="0" w:space="0" w:color="auto"/>
          </w:divBdr>
          <w:divsChild>
            <w:div w:id="1647663438">
              <w:marLeft w:val="0"/>
              <w:marRight w:val="450"/>
              <w:marTop w:val="0"/>
              <w:marBottom w:val="600"/>
              <w:divBdr>
                <w:top w:val="none" w:sz="0" w:space="0" w:color="auto"/>
                <w:left w:val="none" w:sz="0" w:space="0" w:color="auto"/>
                <w:bottom w:val="none" w:sz="0" w:space="0" w:color="auto"/>
                <w:right w:val="none" w:sz="0" w:space="0" w:color="auto"/>
              </w:divBdr>
              <w:divsChild>
                <w:div w:id="878009944">
                  <w:marLeft w:val="0"/>
                  <w:marRight w:val="0"/>
                  <w:marTop w:val="0"/>
                  <w:marBottom w:val="120"/>
                  <w:divBdr>
                    <w:top w:val="single" w:sz="36" w:space="5" w:color="E5E5E5"/>
                    <w:left w:val="none" w:sz="0" w:space="0" w:color="auto"/>
                    <w:bottom w:val="single" w:sz="6" w:space="0" w:color="E5E5E5"/>
                    <w:right w:val="none" w:sz="0" w:space="0" w:color="auto"/>
                  </w:divBdr>
                </w:div>
                <w:div w:id="17627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98795">
      <w:bodyDiv w:val="1"/>
      <w:marLeft w:val="0"/>
      <w:marRight w:val="0"/>
      <w:marTop w:val="0"/>
      <w:marBottom w:val="0"/>
      <w:divBdr>
        <w:top w:val="none" w:sz="0" w:space="0" w:color="auto"/>
        <w:left w:val="none" w:sz="0" w:space="0" w:color="auto"/>
        <w:bottom w:val="none" w:sz="0" w:space="0" w:color="auto"/>
        <w:right w:val="none" w:sz="0" w:space="0" w:color="auto"/>
      </w:divBdr>
    </w:div>
    <w:div w:id="2012101580">
      <w:bodyDiv w:val="1"/>
      <w:marLeft w:val="0"/>
      <w:marRight w:val="0"/>
      <w:marTop w:val="0"/>
      <w:marBottom w:val="0"/>
      <w:divBdr>
        <w:top w:val="none" w:sz="0" w:space="0" w:color="auto"/>
        <w:left w:val="none" w:sz="0" w:space="0" w:color="auto"/>
        <w:bottom w:val="none" w:sz="0" w:space="0" w:color="auto"/>
        <w:right w:val="none" w:sz="0" w:space="0" w:color="auto"/>
      </w:divBdr>
    </w:div>
    <w:div w:id="2015104121">
      <w:bodyDiv w:val="1"/>
      <w:marLeft w:val="0"/>
      <w:marRight w:val="0"/>
      <w:marTop w:val="0"/>
      <w:marBottom w:val="0"/>
      <w:divBdr>
        <w:top w:val="none" w:sz="0" w:space="0" w:color="auto"/>
        <w:left w:val="none" w:sz="0" w:space="0" w:color="auto"/>
        <w:bottom w:val="none" w:sz="0" w:space="0" w:color="auto"/>
        <w:right w:val="none" w:sz="0" w:space="0" w:color="auto"/>
      </w:divBdr>
    </w:div>
    <w:div w:id="2054957556">
      <w:bodyDiv w:val="1"/>
      <w:marLeft w:val="0"/>
      <w:marRight w:val="0"/>
      <w:marTop w:val="0"/>
      <w:marBottom w:val="0"/>
      <w:divBdr>
        <w:top w:val="none" w:sz="0" w:space="0" w:color="auto"/>
        <w:left w:val="none" w:sz="0" w:space="0" w:color="auto"/>
        <w:bottom w:val="none" w:sz="0" w:space="0" w:color="auto"/>
        <w:right w:val="none" w:sz="0" w:space="0" w:color="auto"/>
      </w:divBdr>
    </w:div>
    <w:div w:id="2096658938">
      <w:bodyDiv w:val="1"/>
      <w:marLeft w:val="0"/>
      <w:marRight w:val="0"/>
      <w:marTop w:val="0"/>
      <w:marBottom w:val="0"/>
      <w:divBdr>
        <w:top w:val="none" w:sz="0" w:space="0" w:color="auto"/>
        <w:left w:val="none" w:sz="0" w:space="0" w:color="auto"/>
        <w:bottom w:val="none" w:sz="0" w:space="0" w:color="auto"/>
        <w:right w:val="none" w:sz="0" w:space="0" w:color="auto"/>
      </w:divBdr>
    </w:div>
    <w:div w:id="210922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5614</Characters>
  <Application>Microsoft Office Word</Application>
  <DocSecurity>0</DocSecurity>
  <Lines>267</Lines>
  <Paragraphs>172</Paragraphs>
  <ScaleCrop>false</ScaleCrop>
  <HeadingPairs>
    <vt:vector size="2" baseType="variant">
      <vt:variant>
        <vt:lpstr>Title</vt:lpstr>
      </vt:variant>
      <vt:variant>
        <vt:i4>1</vt:i4>
      </vt:variant>
    </vt:vector>
  </HeadingPairs>
  <TitlesOfParts>
    <vt:vector size="1" baseType="lpstr">
      <vt:lpstr>Date:</vt:lpstr>
    </vt:vector>
  </TitlesOfParts>
  <Company>Cross Education Support Services Limited</Company>
  <LinksUpToDate>false</LinksUpToDate>
  <CharactersWithSpaces>6552</CharactersWithSpaces>
  <SharedDoc>false</SharedDoc>
  <HLinks>
    <vt:vector size="6" baseType="variant">
      <vt:variant>
        <vt:i4>4063313</vt:i4>
      </vt:variant>
      <vt:variant>
        <vt:i4>0</vt:i4>
      </vt:variant>
      <vt:variant>
        <vt:i4>0</vt:i4>
      </vt:variant>
      <vt:variant>
        <vt:i4>5</vt:i4>
      </vt:variant>
      <vt:variant>
        <vt:lpwstr>C:\Users\enolan\AppData\Local\Microsoft\Windows\INetCache\Content.Outlook\2U2I0MU9\Dave.Richards@southwark.gov.uk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Cross Education Support Services Limited</dc:creator>
  <cp:keywords/>
  <cp:lastModifiedBy>Gray, Karen</cp:lastModifiedBy>
  <cp:revision>2</cp:revision>
  <cp:lastPrinted>2018-03-06T15:23:00Z</cp:lastPrinted>
  <dcterms:created xsi:type="dcterms:W3CDTF">2022-10-05T15:41:00Z</dcterms:created>
  <dcterms:modified xsi:type="dcterms:W3CDTF">2022-10-05T15:41:00Z</dcterms:modified>
</cp:coreProperties>
</file>