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5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afety Valve Programme: Initial and Final Proposal Cover Sheet"/>
        <w:tblDescription w:val="Safety Valve Programme: Initial and Final Proposal Cover Sheet"/>
      </w:tblPr>
      <w:tblGrid>
        <w:gridCol w:w="12464"/>
      </w:tblGrid>
      <w:tr w:rsidR="00C04F34" w:rsidRPr="00391B48" w14:paraId="01B9A5C8" w14:textId="49F9323A" w:rsidTr="00A023E3">
        <w:trPr>
          <w:trHeight w:val="831"/>
          <w:tblHeader/>
        </w:trPr>
        <w:tc>
          <w:tcPr>
            <w:tcW w:w="1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6214" w14:textId="68C2AC7F" w:rsidR="00C04F34" w:rsidRPr="003A1BFD" w:rsidRDefault="00C04F34" w:rsidP="003A1BFD">
            <w:pPr>
              <w:pStyle w:val="Heading1"/>
              <w:rPr>
                <w:b/>
              </w:rPr>
            </w:pPr>
            <w:r w:rsidRPr="003A1BFD">
              <w:rPr>
                <w:b/>
              </w:rPr>
              <w:t xml:space="preserve">Southwark                            2021-22            2022-23       </w:t>
            </w:r>
            <w:r w:rsidR="0079232D" w:rsidRPr="003A1BFD">
              <w:rPr>
                <w:b/>
              </w:rPr>
              <w:t xml:space="preserve"> </w:t>
            </w:r>
            <w:r w:rsidRPr="003A1BFD">
              <w:rPr>
                <w:b/>
              </w:rPr>
              <w:t xml:space="preserve">   2023-24          2024-25          2025-26         2026-27 (if</w:t>
            </w:r>
          </w:p>
          <w:p w14:paraId="7808A533" w14:textId="1697F827" w:rsidR="00C04F34" w:rsidRPr="00880701" w:rsidRDefault="00C04F34" w:rsidP="00C04F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1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applicable)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C04F34" w:rsidRPr="00391B48" w14:paraId="0170DB5F" w14:textId="7EB68F6F" w:rsidTr="00455474">
        <w:tc>
          <w:tcPr>
            <w:tcW w:w="1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0021" w14:textId="77777777" w:rsidR="00C04F34" w:rsidRDefault="00C04F34" w:rsidP="00C04F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B48">
              <w:rPr>
                <w:rFonts w:ascii="Arial" w:hAnsi="Arial" w:cs="Arial"/>
                <w:sz w:val="24"/>
                <w:szCs w:val="24"/>
              </w:rPr>
              <w:t xml:space="preserve">Proposed in-year </w:t>
            </w:r>
          </w:p>
          <w:p w14:paraId="1CE5D813" w14:textId="77777777" w:rsidR="00C04F34" w:rsidRDefault="00C04F34" w:rsidP="00C04F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B48">
              <w:rPr>
                <w:rFonts w:ascii="Arial" w:hAnsi="Arial" w:cs="Arial"/>
                <w:sz w:val="24"/>
                <w:szCs w:val="24"/>
              </w:rPr>
              <w:t>balance point (not</w:t>
            </w:r>
          </w:p>
          <w:p w14:paraId="6C3E3FE8" w14:textId="6356304E" w:rsidR="00C04F34" w:rsidRDefault="00C04F34" w:rsidP="00C04F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B48">
              <w:rPr>
                <w:rFonts w:ascii="Arial" w:hAnsi="Arial" w:cs="Arial"/>
                <w:sz w:val="24"/>
                <w:szCs w:val="24"/>
              </w:rPr>
              <w:t>including loca</w:t>
            </w:r>
            <w:bookmarkStart w:id="0" w:name="_GoBack"/>
            <w:bookmarkEnd w:id="0"/>
            <w:r w:rsidRPr="00391B48"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t xml:space="preserve">                                                                                                    </w:t>
            </w:r>
            <w:r w:rsidRPr="00C04F34"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23AE3844" w14:textId="77777777" w:rsidR="00C04F34" w:rsidRDefault="00C04F34" w:rsidP="00C04F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B48">
              <w:rPr>
                <w:rFonts w:ascii="Arial" w:hAnsi="Arial" w:cs="Arial"/>
                <w:sz w:val="24"/>
                <w:szCs w:val="24"/>
              </w:rPr>
              <w:t>contributions) (input X in</w:t>
            </w:r>
          </w:p>
          <w:p w14:paraId="3CA9838B" w14:textId="7CBA4F70" w:rsidR="00C04F34" w:rsidRPr="00903504" w:rsidRDefault="00C04F34" w:rsidP="00C04F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B48">
              <w:rPr>
                <w:rFonts w:ascii="Arial" w:hAnsi="Arial" w:cs="Arial"/>
                <w:sz w:val="24"/>
                <w:szCs w:val="24"/>
              </w:rPr>
              <w:t>year):</w:t>
            </w:r>
          </w:p>
        </w:tc>
      </w:tr>
      <w:tr w:rsidR="00C04F34" w:rsidRPr="00391B48" w14:paraId="1E377740" w14:textId="4E284CD4" w:rsidTr="000C2654">
        <w:tc>
          <w:tcPr>
            <w:tcW w:w="1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CD08" w14:textId="77777777" w:rsidR="00C04F34" w:rsidRDefault="00C04F34" w:rsidP="00C04F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2">
              <w:rPr>
                <w:rFonts w:ascii="Arial" w:hAnsi="Arial" w:cs="Arial"/>
                <w:sz w:val="24"/>
                <w:szCs w:val="24"/>
              </w:rPr>
              <w:t>LA unmitigated forecast</w:t>
            </w:r>
          </w:p>
          <w:p w14:paraId="7B1838FA" w14:textId="164ED797" w:rsidR="00C04F34" w:rsidRPr="00903504" w:rsidRDefault="00C04F34" w:rsidP="00C04F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2">
              <w:rPr>
                <w:rFonts w:ascii="Arial" w:hAnsi="Arial" w:cs="Arial"/>
                <w:sz w:val="24"/>
                <w:szCs w:val="24"/>
              </w:rPr>
              <w:t>deficit</w:t>
            </w:r>
            <w:r w:rsidRPr="00391B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Pr="00903504">
              <w:rPr>
                <w:rFonts w:ascii="Arial" w:hAnsi="Arial" w:cs="Arial"/>
                <w:color w:val="000000"/>
                <w:sz w:val="24"/>
                <w:szCs w:val="24"/>
              </w:rPr>
              <w:t>£24,050,096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03504">
              <w:rPr>
                <w:rFonts w:ascii="Arial" w:hAnsi="Arial" w:cs="Arial"/>
                <w:color w:val="000000"/>
                <w:sz w:val="24"/>
                <w:szCs w:val="24"/>
              </w:rPr>
              <w:t>£30,165,197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3504">
              <w:rPr>
                <w:rFonts w:ascii="Arial" w:hAnsi="Arial" w:cs="Arial"/>
                <w:color w:val="000000"/>
                <w:sz w:val="24"/>
                <w:szCs w:val="24"/>
              </w:rPr>
              <w:t>£41,167,673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3504">
              <w:rPr>
                <w:rFonts w:ascii="Arial" w:hAnsi="Arial" w:cs="Arial"/>
                <w:color w:val="000000"/>
                <w:sz w:val="24"/>
                <w:szCs w:val="24"/>
              </w:rPr>
              <w:t>£55,300,952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3504">
              <w:rPr>
                <w:rFonts w:ascii="Arial" w:hAnsi="Arial" w:cs="Arial"/>
                <w:color w:val="000000"/>
                <w:sz w:val="24"/>
                <w:szCs w:val="24"/>
              </w:rPr>
              <w:t>£72,466,999</w:t>
            </w:r>
          </w:p>
        </w:tc>
      </w:tr>
      <w:tr w:rsidR="00141C56" w:rsidRPr="00391B48" w14:paraId="612F963E" w14:textId="6B4ED876" w:rsidTr="006D5B07">
        <w:tc>
          <w:tcPr>
            <w:tcW w:w="1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54DC" w14:textId="77777777" w:rsidR="00141C56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mitigated forecast</w:t>
            </w:r>
          </w:p>
          <w:p w14:paraId="6980FE30" w14:textId="18B5EFB8" w:rsidR="00141C56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C22">
              <w:rPr>
                <w:rFonts w:ascii="Arial" w:hAnsi="Arial" w:cs="Arial"/>
                <w:sz w:val="24"/>
                <w:szCs w:val="24"/>
              </w:rPr>
              <w:t>deficit</w:t>
            </w:r>
            <w:r>
              <w:rPr>
                <w:rFonts w:ascii="Arial" w:hAnsi="Arial" w:cs="Arial"/>
                <w:sz w:val="24"/>
                <w:szCs w:val="24"/>
              </w:rPr>
              <w:t xml:space="preserve">, including any           </w:t>
            </w:r>
            <w:r w:rsidRPr="00141C56">
              <w:rPr>
                <w:rFonts w:ascii="Arial" w:hAnsi="Arial" w:cs="Arial"/>
                <w:sz w:val="24"/>
                <w:szCs w:val="24"/>
              </w:rPr>
              <w:t>£21,651,578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03504">
              <w:rPr>
                <w:rFonts w:ascii="Arial" w:hAnsi="Arial" w:cs="Arial"/>
                <w:color w:val="000000"/>
                <w:sz w:val="24"/>
                <w:szCs w:val="24"/>
              </w:rPr>
              <w:t>£23,913,119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141C56">
              <w:rPr>
                <w:rFonts w:ascii="Arial" w:hAnsi="Arial" w:cs="Arial"/>
                <w:color w:val="000000"/>
                <w:sz w:val="24"/>
                <w:szCs w:val="24"/>
              </w:rPr>
              <w:t>£24,158,631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41C56">
              <w:rPr>
                <w:rFonts w:ascii="Arial" w:hAnsi="Arial" w:cs="Arial"/>
                <w:color w:val="000000"/>
                <w:sz w:val="24"/>
                <w:szCs w:val="24"/>
              </w:rPr>
              <w:t>£23,626,754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41C56">
              <w:rPr>
                <w:rFonts w:ascii="Arial" w:hAnsi="Arial" w:cs="Arial"/>
                <w:color w:val="000000"/>
                <w:sz w:val="24"/>
                <w:szCs w:val="24"/>
              </w:rPr>
              <w:t>£23,142,652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41C56">
              <w:rPr>
                <w:rFonts w:ascii="Arial" w:hAnsi="Arial" w:cs="Arial"/>
                <w:color w:val="000000"/>
                <w:sz w:val="24"/>
                <w:szCs w:val="24"/>
              </w:rPr>
              <w:t>£23,042,109</w:t>
            </w:r>
          </w:p>
          <w:p w14:paraId="4AD31AA2" w14:textId="69E57073" w:rsidR="00141C56" w:rsidRPr="00903504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block transfers: </w:t>
            </w:r>
            <w:r w:rsidRPr="00DA4C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1C56" w:rsidRPr="00391B48" w14:paraId="2A7B3802" w14:textId="19737730" w:rsidTr="00060855">
        <w:tc>
          <w:tcPr>
            <w:tcW w:w="1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7D0F" w14:textId="74DB724E" w:rsidR="00141C56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B48">
              <w:rPr>
                <w:rFonts w:ascii="Arial" w:hAnsi="Arial" w:cs="Arial"/>
                <w:sz w:val="24"/>
                <w:szCs w:val="24"/>
              </w:rPr>
              <w:t>Block transfer</w:t>
            </w:r>
            <w:r>
              <w:rPr>
                <w:rFonts w:ascii="Arial" w:hAnsi="Arial" w:cs="Arial"/>
                <w:sz w:val="24"/>
                <w:szCs w:val="24"/>
              </w:rPr>
              <w:t xml:space="preserve"> value as         </w:t>
            </w:r>
            <w:r w:rsidRPr="00141C56">
              <w:rPr>
                <w:rFonts w:ascii="Arial" w:hAnsi="Arial" w:cs="Arial"/>
                <w:sz w:val="24"/>
                <w:szCs w:val="24"/>
              </w:rPr>
              <w:t>£3,100,000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141C56">
              <w:rPr>
                <w:rFonts w:ascii="Arial" w:hAnsi="Arial" w:cs="Arial"/>
                <w:sz w:val="24"/>
                <w:szCs w:val="24"/>
              </w:rPr>
              <w:t>£1,200,000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141C56">
              <w:rPr>
                <w:rFonts w:ascii="Arial" w:hAnsi="Arial" w:cs="Arial"/>
                <w:sz w:val="24"/>
                <w:szCs w:val="24"/>
              </w:rPr>
              <w:t>£1,200,000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41C56">
              <w:rPr>
                <w:rFonts w:ascii="Arial" w:hAnsi="Arial" w:cs="Arial"/>
                <w:sz w:val="24"/>
                <w:szCs w:val="24"/>
              </w:rPr>
              <w:t>£1,200,000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41C56">
              <w:rPr>
                <w:rFonts w:ascii="Arial" w:hAnsi="Arial" w:cs="Arial"/>
                <w:sz w:val="24"/>
                <w:szCs w:val="24"/>
              </w:rPr>
              <w:t>£1,200,000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41C56">
              <w:rPr>
                <w:rFonts w:ascii="Arial" w:hAnsi="Arial" w:cs="Arial"/>
                <w:sz w:val="24"/>
                <w:szCs w:val="24"/>
              </w:rPr>
              <w:t>£1,200,000</w:t>
            </w:r>
          </w:p>
          <w:p w14:paraId="5D347ED3" w14:textId="77777777" w:rsidR="00141C56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included in final deficit </w:t>
            </w:r>
          </w:p>
          <w:p w14:paraId="7DB01B6A" w14:textId="022F71F7" w:rsidR="00141C56" w:rsidRPr="00903504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forecast above</w:t>
            </w:r>
            <w:r w:rsidRPr="00391B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141C56">
              <w:rPr>
                <w:rFonts w:ascii="Arial" w:hAnsi="Arial" w:cs="Arial"/>
                <w:sz w:val="24"/>
                <w:szCs w:val="24"/>
              </w:rPr>
              <w:t>1%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141C56">
              <w:rPr>
                <w:rFonts w:ascii="Arial" w:hAnsi="Arial" w:cs="Arial"/>
                <w:sz w:val="24"/>
                <w:szCs w:val="24"/>
              </w:rPr>
              <w:t>0.44%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t xml:space="preserve"> </w:t>
            </w:r>
            <w:r w:rsidRPr="00141C56">
              <w:rPr>
                <w:rFonts w:ascii="Arial" w:hAnsi="Arial" w:cs="Arial"/>
                <w:sz w:val="24"/>
                <w:szCs w:val="24"/>
              </w:rPr>
              <w:t>c 0.5%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41C56">
              <w:rPr>
                <w:rFonts w:ascii="Arial" w:hAnsi="Arial" w:cs="Arial"/>
                <w:sz w:val="24"/>
                <w:szCs w:val="24"/>
              </w:rPr>
              <w:t xml:space="preserve">   c 0.5%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t xml:space="preserve"> </w:t>
            </w:r>
            <w:r w:rsidRPr="00141C56">
              <w:rPr>
                <w:rFonts w:ascii="Arial" w:hAnsi="Arial" w:cs="Arial"/>
                <w:sz w:val="24"/>
                <w:szCs w:val="24"/>
              </w:rPr>
              <w:t>c 0.5%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c 0.5</w:t>
            </w:r>
            <w:r w:rsidRPr="0090350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41C56" w:rsidRPr="00391B48" w14:paraId="54297D32" w14:textId="3A864AA8" w:rsidTr="0087542C">
        <w:tc>
          <w:tcPr>
            <w:tcW w:w="1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139E" w14:textId="3D3C2A57" w:rsidR="00141C56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</w:t>
            </w:r>
            <w:r w:rsidRPr="00391B48">
              <w:rPr>
                <w:rFonts w:ascii="Arial" w:hAnsi="Arial" w:cs="Arial"/>
                <w:sz w:val="24"/>
                <w:szCs w:val="24"/>
              </w:rPr>
              <w:t xml:space="preserve">sk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35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903504">
              <w:rPr>
                <w:rFonts w:ascii="Arial" w:hAnsi="Arial" w:cs="Arial"/>
                <w:sz w:val="24"/>
                <w:szCs w:val="24"/>
              </w:rPr>
              <w:t xml:space="preserve">Please do NOT include an assumed or requested profile of </w:t>
            </w:r>
            <w:proofErr w:type="spellStart"/>
            <w:r w:rsidRPr="00903504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903504">
              <w:rPr>
                <w:rFonts w:ascii="Arial" w:hAnsi="Arial" w:cs="Arial"/>
                <w:sz w:val="24"/>
                <w:szCs w:val="24"/>
              </w:rPr>
              <w:t xml:space="preserve"> funding, and instead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0485A28" w14:textId="7BED8A11" w:rsidR="00141C56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B48">
              <w:rPr>
                <w:rFonts w:ascii="Arial" w:hAnsi="Arial" w:cs="Arial"/>
                <w:sz w:val="24"/>
                <w:szCs w:val="24"/>
              </w:rPr>
              <w:t xml:space="preserve">department: funding </w:t>
            </w:r>
            <w:r>
              <w:t xml:space="preserve">                    </w:t>
            </w:r>
            <w:r w:rsidRPr="00141C56">
              <w:rPr>
                <w:rFonts w:ascii="Arial" w:hAnsi="Arial" w:cs="Arial"/>
                <w:sz w:val="24"/>
                <w:szCs w:val="24"/>
              </w:rPr>
              <w:t>include one number as the total ask:</w:t>
            </w:r>
          </w:p>
          <w:p w14:paraId="07D15CA1" w14:textId="42148B88" w:rsidR="00141C56" w:rsidRPr="00391B48" w:rsidRDefault="00141C56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1B48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B48">
              <w:rPr>
                <w:rFonts w:ascii="Arial" w:hAnsi="Arial" w:cs="Arial"/>
                <w:sz w:val="24"/>
                <w:szCs w:val="24"/>
              </w:rPr>
              <w:t>deficit (proposed):</w:t>
            </w:r>
          </w:p>
          <w:p w14:paraId="4CEAEB91" w14:textId="490B5A7F" w:rsidR="00141C56" w:rsidRPr="00903504" w:rsidRDefault="003475FA" w:rsidP="00141C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141C56" w:rsidRPr="00903504">
              <w:rPr>
                <w:rFonts w:ascii="Arial" w:hAnsi="Arial" w:cs="Arial"/>
                <w:color w:val="000000"/>
                <w:sz w:val="24"/>
                <w:szCs w:val="24"/>
              </w:rPr>
              <w:t>£23,042,109</w:t>
            </w:r>
          </w:p>
        </w:tc>
      </w:tr>
    </w:tbl>
    <w:p w14:paraId="0D771277" w14:textId="73607031" w:rsidR="0058176B" w:rsidRPr="003A1BFD" w:rsidRDefault="003A1BFD" w:rsidP="003A1BFD">
      <w:pPr>
        <w:pStyle w:val="Heading1"/>
      </w:pPr>
      <w:r w:rsidRPr="003A1BFD">
        <w:t xml:space="preserve">Please ensure that your final proposal uses the funding assumptions detailed in the letter from Tom Goldman*.  </w:t>
      </w:r>
    </w:p>
    <w:p w14:paraId="026E48BC" w14:textId="77777777" w:rsidR="00CA633E" w:rsidRDefault="00CA633E"/>
    <w:p w14:paraId="6BC45665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2BA966DA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29273EEC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28D75006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35AB181E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5F109FCA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52E61B68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1A304AEC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716F674B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5CCC1AF2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6B700DE0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6D51E06B" w14:textId="77777777" w:rsidR="00221512" w:rsidRDefault="00221512">
      <w:pPr>
        <w:rPr>
          <w:rFonts w:ascii="Arial" w:hAnsi="Arial" w:cs="Arial"/>
          <w:sz w:val="28"/>
          <w:szCs w:val="28"/>
          <w:u w:val="single"/>
        </w:rPr>
      </w:pPr>
    </w:p>
    <w:p w14:paraId="3BFA9D6B" w14:textId="25F1571B" w:rsidR="00221512" w:rsidRPr="001033C3" w:rsidRDefault="00903504" w:rsidP="00903504">
      <w:pPr>
        <w:rPr>
          <w:rFonts w:ascii="Arial" w:hAnsi="Arial" w:cs="Arial"/>
          <w:sz w:val="20"/>
          <w:szCs w:val="20"/>
        </w:rPr>
      </w:pPr>
      <w:r w:rsidRPr="001033C3">
        <w:rPr>
          <w:rFonts w:ascii="Arial" w:hAnsi="Arial" w:cs="Arial"/>
          <w:sz w:val="20"/>
          <w:szCs w:val="20"/>
        </w:rPr>
        <w:t>*NB:  the funding assumptions first provided in the letter dated 09/06/22</w:t>
      </w:r>
      <w:r w:rsidR="00AC67B5" w:rsidRPr="001033C3">
        <w:rPr>
          <w:rFonts w:ascii="Arial" w:hAnsi="Arial" w:cs="Arial"/>
          <w:sz w:val="20"/>
          <w:szCs w:val="20"/>
        </w:rPr>
        <w:t xml:space="preserve"> for the year on year uplift of 5% in 2023-24 and 3% thereafter.  However, subsequent publications from the </w:t>
      </w:r>
      <w:proofErr w:type="spellStart"/>
      <w:r w:rsidR="00AC67B5" w:rsidRPr="001033C3">
        <w:rPr>
          <w:rFonts w:ascii="Arial" w:hAnsi="Arial" w:cs="Arial"/>
          <w:sz w:val="20"/>
          <w:szCs w:val="20"/>
        </w:rPr>
        <w:t>DfE</w:t>
      </w:r>
      <w:proofErr w:type="spellEnd"/>
      <w:r w:rsidR="00AC67B5" w:rsidRPr="001033C3">
        <w:rPr>
          <w:rFonts w:ascii="Arial" w:hAnsi="Arial" w:cs="Arial"/>
          <w:sz w:val="20"/>
          <w:szCs w:val="20"/>
        </w:rPr>
        <w:t xml:space="preserve"> </w:t>
      </w:r>
      <w:r w:rsidR="001033C3">
        <w:rPr>
          <w:rFonts w:ascii="Arial" w:hAnsi="Arial" w:cs="Arial"/>
          <w:sz w:val="20"/>
          <w:szCs w:val="20"/>
        </w:rPr>
        <w:t>(</w:t>
      </w:r>
      <w:hyperlink r:id="rId11" w:history="1">
        <w:r w:rsidR="001033C3" w:rsidRPr="001033C3">
          <w:rPr>
            <w:rStyle w:val="Hyperlink"/>
            <w:rFonts w:ascii="Arial" w:hAnsi="Arial" w:cs="Arial"/>
            <w:sz w:val="20"/>
            <w:szCs w:val="20"/>
          </w:rPr>
          <w:t>The national funding formulae for schools and high needs 2023-24</w:t>
        </w:r>
      </w:hyperlink>
      <w:r w:rsidR="001033C3">
        <w:rPr>
          <w:rFonts w:ascii="Arial" w:hAnsi="Arial" w:cs="Arial"/>
          <w:sz w:val="20"/>
          <w:szCs w:val="20"/>
        </w:rPr>
        <w:t xml:space="preserve">) </w:t>
      </w:r>
      <w:r w:rsidR="00AC67B5" w:rsidRPr="001033C3">
        <w:rPr>
          <w:rFonts w:ascii="Arial" w:hAnsi="Arial" w:cs="Arial"/>
          <w:sz w:val="20"/>
          <w:szCs w:val="20"/>
        </w:rPr>
        <w:t>advise a national increase in high needs funding, between 2022-23 and 2023-24, of 6.3%</w:t>
      </w:r>
      <w:r w:rsidR="001033C3" w:rsidRPr="001033C3">
        <w:rPr>
          <w:rFonts w:ascii="Arial" w:hAnsi="Arial" w:cs="Arial"/>
          <w:sz w:val="20"/>
          <w:szCs w:val="20"/>
        </w:rPr>
        <w:t xml:space="preserve"> with a gains cap at 7%.  Therefore, our funding assumptions are 7% in 2023-24 and 3% thereafter.</w:t>
      </w:r>
    </w:p>
    <w:p w14:paraId="373CA5A3" w14:textId="3C299162" w:rsidR="00AC67B5" w:rsidRPr="00AC67B5" w:rsidRDefault="001033C3" w:rsidP="00903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C14D30B" w14:textId="67C2C102" w:rsidR="00AC67B5" w:rsidRPr="00AC67B5" w:rsidRDefault="003A1BFD" w:rsidP="00903504">
      <w:pPr>
        <w:rPr>
          <w:rFonts w:ascii="Arial" w:hAnsi="Arial" w:cs="Arial"/>
          <w:sz w:val="24"/>
          <w:szCs w:val="24"/>
        </w:rPr>
      </w:pPr>
      <w:r w:rsidRPr="003A1BFD">
        <w:rPr>
          <w:rFonts w:ascii="Arial" w:hAnsi="Arial" w:cs="Arial"/>
          <w:sz w:val="24"/>
          <w:szCs w:val="24"/>
        </w:rPr>
        <w:lastRenderedPageBreak/>
        <w:t xml:space="preserve">Please ensure that your final proposal uses the funding assumptions detailed in the letter from Tom Goldman*.  </w:t>
      </w:r>
    </w:p>
    <w:p w14:paraId="199539B7" w14:textId="51B8EFD1" w:rsidR="00CA633E" w:rsidRPr="00391B48" w:rsidRDefault="00CA633E">
      <w:pPr>
        <w:rPr>
          <w:rFonts w:ascii="Arial" w:hAnsi="Arial" w:cs="Arial"/>
          <w:sz w:val="28"/>
          <w:szCs w:val="28"/>
          <w:u w:val="single"/>
        </w:rPr>
      </w:pPr>
      <w:r w:rsidRPr="00391B48">
        <w:rPr>
          <w:rFonts w:ascii="Arial" w:hAnsi="Arial" w:cs="Arial"/>
          <w:sz w:val="28"/>
          <w:szCs w:val="28"/>
          <w:u w:val="single"/>
        </w:rPr>
        <w:t>Checklist:</w:t>
      </w:r>
    </w:p>
    <w:p w14:paraId="5E1CF01A" w14:textId="54C0BC06" w:rsidR="00F35E84" w:rsidRDefault="00F35E84" w:rsidP="009D231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the data above </w:t>
      </w:r>
      <w:r w:rsidR="00D82E7B">
        <w:rPr>
          <w:rFonts w:ascii="Arial" w:hAnsi="Arial" w:cs="Arial"/>
          <w:sz w:val="28"/>
          <w:szCs w:val="28"/>
        </w:rPr>
        <w:t>and submit alongside the below</w:t>
      </w:r>
    </w:p>
    <w:p w14:paraId="1415DD0A" w14:textId="6F3D292F" w:rsidR="00CA633E" w:rsidRPr="00391B48" w:rsidRDefault="00D82E7B" w:rsidP="009D231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r w:rsidR="00A97C92">
        <w:rPr>
          <w:rFonts w:ascii="Arial" w:hAnsi="Arial" w:cs="Arial"/>
          <w:sz w:val="28"/>
          <w:szCs w:val="28"/>
        </w:rPr>
        <w:t xml:space="preserve">your most recent </w:t>
      </w:r>
      <w:r w:rsidR="00CA633E" w:rsidRPr="00391B48">
        <w:rPr>
          <w:rFonts w:ascii="Arial" w:hAnsi="Arial" w:cs="Arial"/>
          <w:sz w:val="28"/>
          <w:szCs w:val="28"/>
        </w:rPr>
        <w:t xml:space="preserve">DSG management plan in </w:t>
      </w:r>
      <w:proofErr w:type="spellStart"/>
      <w:r w:rsidR="00CA633E" w:rsidRPr="00391B48">
        <w:rPr>
          <w:rFonts w:ascii="Arial" w:hAnsi="Arial" w:cs="Arial"/>
          <w:sz w:val="28"/>
          <w:szCs w:val="28"/>
        </w:rPr>
        <w:t>DfE</w:t>
      </w:r>
      <w:proofErr w:type="spellEnd"/>
      <w:r w:rsidR="00CA633E" w:rsidRPr="00391B48">
        <w:rPr>
          <w:rFonts w:ascii="Arial" w:hAnsi="Arial" w:cs="Arial"/>
          <w:sz w:val="28"/>
          <w:szCs w:val="28"/>
        </w:rPr>
        <w:t xml:space="preserve"> template </w:t>
      </w:r>
    </w:p>
    <w:p w14:paraId="5BBDAE2B" w14:textId="58129C41" w:rsidR="00CA633E" w:rsidRPr="00391B48" w:rsidRDefault="00D82E7B" w:rsidP="009D231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r w:rsidR="00A97C92">
        <w:rPr>
          <w:rFonts w:ascii="Arial" w:hAnsi="Arial" w:cs="Arial"/>
          <w:sz w:val="28"/>
          <w:szCs w:val="28"/>
        </w:rPr>
        <w:t xml:space="preserve">your most recent </w:t>
      </w:r>
      <w:r w:rsidR="00CA633E" w:rsidRPr="00391B48">
        <w:rPr>
          <w:rFonts w:ascii="Arial" w:hAnsi="Arial" w:cs="Arial"/>
          <w:sz w:val="28"/>
          <w:szCs w:val="28"/>
        </w:rPr>
        <w:t xml:space="preserve">SEND </w:t>
      </w:r>
      <w:r w:rsidR="00B97657" w:rsidRPr="00391B48">
        <w:rPr>
          <w:rFonts w:ascii="Arial" w:hAnsi="Arial" w:cs="Arial"/>
          <w:sz w:val="28"/>
          <w:szCs w:val="28"/>
        </w:rPr>
        <w:t xml:space="preserve">strategy and relevant data </w:t>
      </w:r>
    </w:p>
    <w:p w14:paraId="55EB0620" w14:textId="02F79870" w:rsidR="00CA633E" w:rsidRDefault="00CA633E"/>
    <w:sectPr w:rsidR="00CA633E" w:rsidSect="00DA4C22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92FD" w14:textId="77777777" w:rsidR="00D320BA" w:rsidRDefault="00D320BA" w:rsidP="00D320BA">
      <w:pPr>
        <w:spacing w:after="0" w:line="240" w:lineRule="auto"/>
      </w:pPr>
      <w:r>
        <w:separator/>
      </w:r>
    </w:p>
  </w:endnote>
  <w:endnote w:type="continuationSeparator" w:id="0">
    <w:p w14:paraId="0F484F11" w14:textId="77777777" w:rsidR="00D320BA" w:rsidRDefault="00D320BA" w:rsidP="00D3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BA49C35" w14:paraId="66A3B3D1" w14:textId="77777777" w:rsidTr="7BA49C35">
      <w:tc>
        <w:tcPr>
          <w:tcW w:w="4650" w:type="dxa"/>
        </w:tcPr>
        <w:p w14:paraId="2BEBF134" w14:textId="5278BC3E" w:rsidR="7BA49C35" w:rsidRDefault="7BA49C35" w:rsidP="7BA49C35">
          <w:pPr>
            <w:pStyle w:val="Header"/>
            <w:ind w:left="-115"/>
          </w:pPr>
        </w:p>
      </w:tc>
      <w:tc>
        <w:tcPr>
          <w:tcW w:w="4650" w:type="dxa"/>
        </w:tcPr>
        <w:p w14:paraId="2EDDEB51" w14:textId="00DA0AF5" w:rsidR="7BA49C35" w:rsidRDefault="7BA49C35" w:rsidP="7BA49C35">
          <w:pPr>
            <w:pStyle w:val="Header"/>
            <w:jc w:val="center"/>
          </w:pPr>
        </w:p>
      </w:tc>
      <w:tc>
        <w:tcPr>
          <w:tcW w:w="4650" w:type="dxa"/>
        </w:tcPr>
        <w:p w14:paraId="5885B531" w14:textId="1CDF7E09" w:rsidR="7BA49C35" w:rsidRDefault="7BA49C35" w:rsidP="7BA49C35">
          <w:pPr>
            <w:pStyle w:val="Header"/>
            <w:ind w:right="-115"/>
            <w:jc w:val="right"/>
          </w:pPr>
        </w:p>
      </w:tc>
    </w:tr>
  </w:tbl>
  <w:p w14:paraId="0A7BD532" w14:textId="3F7B9377" w:rsidR="7BA49C35" w:rsidRDefault="7BA49C35" w:rsidP="7BA49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B2B3" w14:textId="77777777" w:rsidR="00D320BA" w:rsidRDefault="00D320BA" w:rsidP="00D320BA">
      <w:pPr>
        <w:spacing w:after="0" w:line="240" w:lineRule="auto"/>
      </w:pPr>
      <w:r>
        <w:separator/>
      </w:r>
    </w:p>
  </w:footnote>
  <w:footnote w:type="continuationSeparator" w:id="0">
    <w:p w14:paraId="7A0439E1" w14:textId="77777777" w:rsidR="00D320BA" w:rsidRDefault="00D320BA" w:rsidP="00D3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E81D8" w14:textId="52D3A81E" w:rsidR="00D320BA" w:rsidRDefault="00D320BA">
    <w:pPr>
      <w:pStyle w:val="Header"/>
      <w:rPr>
        <w:rFonts w:ascii="Arial" w:hAnsi="Arial" w:cs="Arial"/>
        <w:b/>
        <w:bCs/>
        <w:sz w:val="24"/>
        <w:szCs w:val="24"/>
      </w:rPr>
    </w:pPr>
    <w:r w:rsidRPr="00880701">
      <w:rPr>
        <w:rFonts w:ascii="Arial" w:hAnsi="Arial" w:cs="Arial"/>
        <w:b/>
        <w:bCs/>
        <w:sz w:val="24"/>
        <w:szCs w:val="24"/>
      </w:rPr>
      <w:t>Safety Valve Programme: Initial and Final Proposal Cover Sheet</w:t>
    </w:r>
  </w:p>
  <w:p w14:paraId="0ACA25F8" w14:textId="77777777" w:rsidR="00E56DC5" w:rsidRDefault="00E56DC5">
    <w:pPr>
      <w:pStyle w:val="Header"/>
      <w:rPr>
        <w:rFonts w:ascii="Arial" w:hAnsi="Arial" w:cs="Arial"/>
        <w:b/>
        <w:bCs/>
        <w:sz w:val="24"/>
        <w:szCs w:val="24"/>
      </w:rPr>
    </w:pPr>
  </w:p>
  <w:p w14:paraId="42D6B90F" w14:textId="77777777" w:rsidR="00156245" w:rsidRDefault="00E56DC5">
    <w:pPr>
      <w:pStyle w:val="Header"/>
      <w:rPr>
        <w:rFonts w:ascii="Arial" w:hAnsi="Arial" w:cs="Arial"/>
      </w:rPr>
    </w:pPr>
    <w:r w:rsidRPr="00880701">
      <w:rPr>
        <w:rFonts w:ascii="Arial" w:hAnsi="Arial" w:cs="Arial"/>
        <w:sz w:val="24"/>
        <w:szCs w:val="24"/>
      </w:rPr>
      <w:t>W</w:t>
    </w:r>
    <w:r w:rsidRPr="00880701">
      <w:rPr>
        <w:rFonts w:ascii="Arial" w:hAnsi="Arial" w:cs="Arial"/>
      </w:rPr>
      <w:t>hen submitting your initial and final proposals to the Safety Valve negotiation team, please complete and include the below summary sheet.</w:t>
    </w:r>
    <w:r>
      <w:rPr>
        <w:rFonts w:ascii="Arial" w:hAnsi="Arial" w:cs="Arial"/>
      </w:rPr>
      <w:t xml:space="preserve"> </w:t>
    </w:r>
    <w:r w:rsidR="00514374">
      <w:rPr>
        <w:rFonts w:ascii="Arial" w:hAnsi="Arial" w:cs="Arial"/>
      </w:rPr>
      <w:t xml:space="preserve">If you have any questions when completing the cover sheet, please contact </w:t>
    </w:r>
    <w:hyperlink r:id="rId1" w:history="1">
      <w:r w:rsidR="00514374" w:rsidRPr="00504A61">
        <w:rPr>
          <w:rStyle w:val="Hyperlink"/>
          <w:rFonts w:ascii="Arial" w:hAnsi="Arial" w:cs="Arial"/>
        </w:rPr>
        <w:t>Safetyvalve.programme@education.gov.uk</w:t>
      </w:r>
    </w:hyperlink>
    <w:r w:rsidR="00514374">
      <w:rPr>
        <w:rFonts w:ascii="Arial" w:hAnsi="Arial" w:cs="Arial"/>
      </w:rPr>
      <w:t>.</w:t>
    </w:r>
  </w:p>
  <w:p w14:paraId="162FC18F" w14:textId="77777777" w:rsidR="00156245" w:rsidRDefault="0015624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BE1"/>
    <w:multiLevelType w:val="hybridMultilevel"/>
    <w:tmpl w:val="97981308"/>
    <w:lvl w:ilvl="0" w:tplc="4DD41024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4C72F3"/>
    <w:multiLevelType w:val="hybridMultilevel"/>
    <w:tmpl w:val="6172C312"/>
    <w:lvl w:ilvl="0" w:tplc="C8C01A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7B81"/>
    <w:multiLevelType w:val="hybridMultilevel"/>
    <w:tmpl w:val="E8B4E63A"/>
    <w:lvl w:ilvl="0" w:tplc="91E22758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4EE4"/>
    <w:multiLevelType w:val="multilevel"/>
    <w:tmpl w:val="6074AB8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7E4728"/>
    <w:multiLevelType w:val="hybridMultilevel"/>
    <w:tmpl w:val="19FE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tE3Y2NRZDUDG2DmsZ2KwhG18dJQ0z/E2mGBojbl50cSssdcyvBpV1hE7xB1ulXcw"/>
  </w:docVars>
  <w:rsids>
    <w:rsidRoot w:val="00DA4C22"/>
    <w:rsid w:val="001033C3"/>
    <w:rsid w:val="00133FBA"/>
    <w:rsid w:val="00141C56"/>
    <w:rsid w:val="00156245"/>
    <w:rsid w:val="00182414"/>
    <w:rsid w:val="00221512"/>
    <w:rsid w:val="00267CB7"/>
    <w:rsid w:val="002D2496"/>
    <w:rsid w:val="002D28E1"/>
    <w:rsid w:val="003475FA"/>
    <w:rsid w:val="0036229C"/>
    <w:rsid w:val="00391B48"/>
    <w:rsid w:val="003A1BFD"/>
    <w:rsid w:val="003C6CDD"/>
    <w:rsid w:val="003F0612"/>
    <w:rsid w:val="00506CE3"/>
    <w:rsid w:val="00514374"/>
    <w:rsid w:val="00552B83"/>
    <w:rsid w:val="0058176B"/>
    <w:rsid w:val="00603289"/>
    <w:rsid w:val="0062102F"/>
    <w:rsid w:val="00702C3D"/>
    <w:rsid w:val="0071392A"/>
    <w:rsid w:val="00791CF3"/>
    <w:rsid w:val="0079232D"/>
    <w:rsid w:val="00880701"/>
    <w:rsid w:val="00903504"/>
    <w:rsid w:val="009146D2"/>
    <w:rsid w:val="009D2315"/>
    <w:rsid w:val="00A97C92"/>
    <w:rsid w:val="00AC67B5"/>
    <w:rsid w:val="00B06A22"/>
    <w:rsid w:val="00B46EB0"/>
    <w:rsid w:val="00B63733"/>
    <w:rsid w:val="00B97657"/>
    <w:rsid w:val="00C04F34"/>
    <w:rsid w:val="00C27793"/>
    <w:rsid w:val="00CA633E"/>
    <w:rsid w:val="00CD4DB4"/>
    <w:rsid w:val="00CE05FE"/>
    <w:rsid w:val="00D320BA"/>
    <w:rsid w:val="00D33B3E"/>
    <w:rsid w:val="00D82E7B"/>
    <w:rsid w:val="00DA4C22"/>
    <w:rsid w:val="00DA76E4"/>
    <w:rsid w:val="00DF05D5"/>
    <w:rsid w:val="00E3432B"/>
    <w:rsid w:val="00E3735B"/>
    <w:rsid w:val="00E56DC5"/>
    <w:rsid w:val="00F14CF1"/>
    <w:rsid w:val="00F35E84"/>
    <w:rsid w:val="00F93E7A"/>
    <w:rsid w:val="00FC205C"/>
    <w:rsid w:val="00FE35A6"/>
    <w:rsid w:val="3345B5ED"/>
    <w:rsid w:val="7BA49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DD5A9"/>
  <w15:chartTrackingRefBased/>
  <w15:docId w15:val="{4636043F-D990-48BB-B3CA-69BB2477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BFD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3E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D320BA"/>
    <w:pPr>
      <w:widowControl w:val="0"/>
      <w:numPr>
        <w:numId w:val="4"/>
      </w:numPr>
      <w:spacing w:after="240" w:line="240" w:lineRule="auto"/>
    </w:pPr>
    <w:rPr>
      <w:rFonts w:ascii="Arial" w:hAnsi="Arial" w:cs="Arial"/>
      <w:szCs w:val="24"/>
    </w:rPr>
  </w:style>
  <w:style w:type="character" w:customStyle="1" w:styleId="DfESOutNumberedChar">
    <w:name w:val="DfESOutNumbered Char"/>
    <w:basedOn w:val="DefaultParagraphFont"/>
    <w:link w:val="DfESOutNumbered"/>
    <w:rsid w:val="00D320BA"/>
    <w:rPr>
      <w:rFonts w:ascii="Arial" w:hAnsi="Arial" w:cs="Arial"/>
      <w:szCs w:val="24"/>
    </w:rPr>
  </w:style>
  <w:style w:type="paragraph" w:customStyle="1" w:styleId="DeptBullets">
    <w:name w:val="DeptBullets"/>
    <w:basedOn w:val="Normal"/>
    <w:link w:val="DeptBulletsChar"/>
    <w:rsid w:val="00D320BA"/>
    <w:pPr>
      <w:widowControl w:val="0"/>
      <w:numPr>
        <w:numId w:val="5"/>
      </w:numPr>
      <w:spacing w:after="240" w:line="240" w:lineRule="auto"/>
    </w:pPr>
    <w:rPr>
      <w:rFonts w:ascii="Arial" w:hAnsi="Arial" w:cs="Arial"/>
      <w:szCs w:val="24"/>
    </w:rPr>
  </w:style>
  <w:style w:type="character" w:customStyle="1" w:styleId="DeptBulletsChar">
    <w:name w:val="DeptBullets Char"/>
    <w:basedOn w:val="DefaultParagraphFont"/>
    <w:link w:val="DeptBullets"/>
    <w:rsid w:val="00D320BA"/>
    <w:rPr>
      <w:rFonts w:ascii="Arial" w:hAnsi="Arial" w:cs="Arial"/>
      <w:szCs w:val="24"/>
    </w:rPr>
  </w:style>
  <w:style w:type="paragraph" w:styleId="Revision">
    <w:name w:val="Revision"/>
    <w:hidden/>
    <w:uiPriority w:val="99"/>
    <w:semiHidden/>
    <w:rsid w:val="00D320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BA"/>
  </w:style>
  <w:style w:type="paragraph" w:styleId="Footer">
    <w:name w:val="footer"/>
    <w:basedOn w:val="Normal"/>
    <w:link w:val="FooterChar"/>
    <w:uiPriority w:val="99"/>
    <w:unhideWhenUsed/>
    <w:rsid w:val="00D3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BA"/>
  </w:style>
  <w:style w:type="character" w:styleId="CommentReference">
    <w:name w:val="annotation reference"/>
    <w:basedOn w:val="DefaultParagraphFont"/>
    <w:uiPriority w:val="99"/>
    <w:semiHidden/>
    <w:unhideWhenUsed/>
    <w:rsid w:val="00552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B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3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3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1BFD"/>
    <w:rPr>
      <w:rFonts w:eastAsiaTheme="majorEastAsia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1091988/2023-24_NFF_Policy_Document_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valve.programme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98BBA9590FF4288693CA0E665DF5C" ma:contentTypeVersion="4" ma:contentTypeDescription="Create a new document." ma:contentTypeScope="" ma:versionID="f7f0a03debf9fe9898c1a4c44bae274a">
  <xsd:schema xmlns:xsd="http://www.w3.org/2001/XMLSchema" xmlns:xs="http://www.w3.org/2001/XMLSchema" xmlns:p="http://schemas.microsoft.com/office/2006/metadata/properties" xmlns:ns3="2dc76c0f-3e6f-4828-83f2-16336f44f482" targetNamespace="http://schemas.microsoft.com/office/2006/metadata/properties" ma:root="true" ma:fieldsID="9130dd91b346efab7f666e602edd8e7a" ns3:_="">
    <xsd:import namespace="2dc76c0f-3e6f-4828-83f2-16336f44f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76c0f-3e6f-4828-83f2-16336f44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ABE1-1D63-4D7C-9647-EEBF327648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c76c0f-3e6f-4828-83f2-16336f44f48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54CB35-531B-4323-B9B7-82E00D52C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7AD51-D063-40A5-B637-659C0F7F6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76c0f-3e6f-4828-83f2-16336f44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B773B-EE2C-42B6-8DCB-258A5989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Valve Programme: Initial and Final Proposal Cover Sheet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Valve Programme: Initial and Final Proposal Cover Sheet</dc:title>
  <dc:subject/>
  <dc:creator>BARBER-CLARK, Victoria</dc:creator>
  <cp:keywords/>
  <dc:description/>
  <cp:lastModifiedBy>Gray, Karen</cp:lastModifiedBy>
  <cp:revision>3</cp:revision>
  <dcterms:created xsi:type="dcterms:W3CDTF">2022-10-05T14:26:00Z</dcterms:created>
  <dcterms:modified xsi:type="dcterms:W3CDTF">2022-10-05T14:31:00Z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0x01010055498BBA9590FF4288693CA0E665DF5C</vt:lpwstr>
  </property>
  <property fmtid="{D5CDD505-2E9C-101B-9397-08002B2CF9AE}" pid="3" name="MediaServiceImageTags">
    <vt:lpwstr/>
  </property>
</Properties>
</file>